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A96" w14:textId="05208D86" w:rsidR="00D30DDF" w:rsidRDefault="006D0038" w:rsidP="0077579D">
      <w:pPr>
        <w:jc w:val="center"/>
        <w:rPr>
          <w:rFonts w:ascii="Arial" w:hAnsi="Arial" w:cs="Arial"/>
          <w:sz w:val="28"/>
          <w:szCs w:val="28"/>
          <w:lang w:val="id-ID"/>
        </w:rPr>
      </w:pPr>
      <w:r w:rsidRPr="006D0038">
        <w:rPr>
          <w:rFonts w:ascii="Arial" w:hAnsi="Arial" w:cs="Arial"/>
          <w:sz w:val="28"/>
          <w:szCs w:val="28"/>
          <w:lang w:val="id-ID"/>
        </w:rPr>
        <w:t>Integrasi Sistem Hukum di Negara Multikultural: Studi Literatur tentang Hukum Adat, Islam, dan Negara di Indonesia</w:t>
      </w:r>
    </w:p>
    <w:p w14:paraId="12C3CAB1" w14:textId="77777777" w:rsidR="006D0038" w:rsidRDefault="006D0038" w:rsidP="0077579D">
      <w:pPr>
        <w:jc w:val="center"/>
        <w:rPr>
          <w:rFonts w:ascii="Arial" w:hAnsi="Arial" w:cs="Arial"/>
          <w:sz w:val="28"/>
          <w:szCs w:val="28"/>
          <w:lang w:val="id-ID"/>
        </w:rPr>
      </w:pPr>
    </w:p>
    <w:p w14:paraId="64AFE4D0" w14:textId="18EF0986" w:rsidR="0077579D" w:rsidRPr="00BD11F4" w:rsidRDefault="00BD11F4" w:rsidP="002B2D50">
      <w:pPr>
        <w:jc w:val="center"/>
        <w:rPr>
          <w:rFonts w:ascii="Arial" w:hAnsi="Arial" w:cs="Arial"/>
          <w:b/>
          <w:bCs/>
          <w:vertAlign w:val="superscript"/>
          <w:lang w:val="id-ID"/>
        </w:rPr>
      </w:pPr>
      <w:r>
        <w:rPr>
          <w:rFonts w:ascii="Arial" w:hAnsi="Arial" w:cs="Arial"/>
          <w:b/>
          <w:bCs/>
          <w:lang w:val="id-ID"/>
        </w:rPr>
        <w:t>Zulfikar</w:t>
      </w:r>
      <w:r>
        <w:rPr>
          <w:rFonts w:ascii="Arial" w:hAnsi="Arial" w:cs="Arial"/>
          <w:b/>
          <w:bCs/>
          <w:vertAlign w:val="superscript"/>
          <w:lang w:val="id-ID"/>
        </w:rPr>
        <w:t>1</w:t>
      </w:r>
      <w:r w:rsidR="006D4D07">
        <w:rPr>
          <w:rFonts w:ascii="Arial" w:hAnsi="Arial" w:cs="Arial"/>
          <w:b/>
          <w:bCs/>
          <w:lang w:val="id-ID"/>
        </w:rPr>
        <w:t xml:space="preserve">, </w:t>
      </w:r>
      <w:r>
        <w:rPr>
          <w:rFonts w:ascii="Arial" w:hAnsi="Arial" w:cs="Arial"/>
          <w:b/>
          <w:bCs/>
          <w:lang w:val="id-ID"/>
        </w:rPr>
        <w:t>Ilhamsyah</w:t>
      </w:r>
      <w:r>
        <w:rPr>
          <w:rFonts w:ascii="Arial" w:hAnsi="Arial" w:cs="Arial"/>
          <w:b/>
          <w:bCs/>
          <w:vertAlign w:val="superscript"/>
          <w:lang w:val="id-ID"/>
        </w:rPr>
        <w:t>2</w:t>
      </w:r>
    </w:p>
    <w:p w14:paraId="57B993DF" w14:textId="450E260B" w:rsidR="002B2D50" w:rsidRPr="002B2D50" w:rsidRDefault="000231E3" w:rsidP="002B2D50">
      <w:pPr>
        <w:jc w:val="center"/>
        <w:rPr>
          <w:rFonts w:ascii="Arial" w:hAnsi="Arial" w:cs="Arial"/>
          <w:sz w:val="18"/>
          <w:szCs w:val="18"/>
        </w:rPr>
      </w:pPr>
      <w:r>
        <w:rPr>
          <w:rFonts w:ascii="Arial" w:hAnsi="Arial" w:cs="Arial"/>
          <w:sz w:val="18"/>
          <w:szCs w:val="18"/>
          <w:vertAlign w:val="superscript"/>
        </w:rPr>
        <w:t>1,2</w:t>
      </w:r>
      <w:r w:rsidR="002B2D50" w:rsidRPr="002B2D50">
        <w:rPr>
          <w:rFonts w:ascii="Arial" w:hAnsi="Arial" w:cs="Arial"/>
          <w:sz w:val="18"/>
          <w:szCs w:val="18"/>
        </w:rPr>
        <w:t xml:space="preserve"> </w:t>
      </w:r>
      <w:proofErr w:type="spellStart"/>
      <w:r w:rsidR="002B2D50" w:rsidRPr="002B2D50">
        <w:rPr>
          <w:rFonts w:ascii="Arial" w:hAnsi="Arial" w:cs="Arial"/>
          <w:sz w:val="18"/>
          <w:szCs w:val="18"/>
        </w:rPr>
        <w:t>Fakultas</w:t>
      </w:r>
      <w:proofErr w:type="spellEnd"/>
      <w:r w:rsidR="002B2D50" w:rsidRPr="002B2D50">
        <w:rPr>
          <w:rFonts w:ascii="Arial" w:hAnsi="Arial" w:cs="Arial"/>
          <w:sz w:val="18"/>
          <w:szCs w:val="18"/>
        </w:rPr>
        <w:t xml:space="preserve"> </w:t>
      </w:r>
      <w:proofErr w:type="spellStart"/>
      <w:r w:rsidR="002B2D50" w:rsidRPr="002B2D50">
        <w:rPr>
          <w:rFonts w:ascii="Arial" w:hAnsi="Arial" w:cs="Arial"/>
          <w:sz w:val="18"/>
          <w:szCs w:val="18"/>
        </w:rPr>
        <w:t>Ilmu</w:t>
      </w:r>
      <w:proofErr w:type="spellEnd"/>
      <w:r w:rsidR="002B2D50" w:rsidRPr="002B2D50">
        <w:rPr>
          <w:rFonts w:ascii="Arial" w:hAnsi="Arial" w:cs="Arial"/>
          <w:sz w:val="18"/>
          <w:szCs w:val="18"/>
        </w:rPr>
        <w:t xml:space="preserve"> Hukum Dan Pendidikan</w:t>
      </w:r>
      <w:r w:rsidR="00791724">
        <w:rPr>
          <w:rFonts w:ascii="Arial" w:hAnsi="Arial" w:cs="Arial"/>
          <w:sz w:val="18"/>
          <w:szCs w:val="18"/>
        </w:rPr>
        <w:t xml:space="preserve">, </w:t>
      </w:r>
      <w:r w:rsidR="00791724" w:rsidRPr="002B2D50">
        <w:rPr>
          <w:rFonts w:ascii="Arial" w:hAnsi="Arial" w:cs="Arial"/>
          <w:sz w:val="18"/>
          <w:szCs w:val="18"/>
        </w:rPr>
        <w:t>Program Studi Hukum</w:t>
      </w:r>
    </w:p>
    <w:p w14:paraId="4E9957F2" w14:textId="452DC9A7" w:rsidR="00904D6D" w:rsidRPr="000231E3" w:rsidRDefault="002B2D50" w:rsidP="002B2D50">
      <w:pPr>
        <w:spacing w:after="120"/>
        <w:jc w:val="center"/>
        <w:rPr>
          <w:rFonts w:ascii="Arial" w:hAnsi="Arial" w:cs="Arial"/>
          <w:sz w:val="18"/>
          <w:szCs w:val="18"/>
        </w:rPr>
      </w:pPr>
      <w:r w:rsidRPr="002B2D50">
        <w:rPr>
          <w:rFonts w:ascii="Arial" w:hAnsi="Arial" w:cs="Arial"/>
          <w:sz w:val="18"/>
          <w:szCs w:val="18"/>
        </w:rPr>
        <w:t xml:space="preserve">Universitas Putra Abadi </w:t>
      </w:r>
      <w:proofErr w:type="spellStart"/>
      <w:r w:rsidRPr="002B2D50">
        <w:rPr>
          <w:rFonts w:ascii="Arial" w:hAnsi="Arial" w:cs="Arial"/>
          <w:sz w:val="18"/>
          <w:szCs w:val="18"/>
        </w:rPr>
        <w:t>Langkat</w:t>
      </w:r>
      <w:proofErr w:type="spellEnd"/>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704"/>
      </w:tblGrid>
      <w:tr w:rsidR="003B474D" w:rsidRPr="002F46D0" w14:paraId="2DB7B804" w14:textId="77777777" w:rsidTr="002F46D0">
        <w:trPr>
          <w:trHeight w:val="397"/>
        </w:trPr>
        <w:tc>
          <w:tcPr>
            <w:tcW w:w="2802" w:type="dxa"/>
            <w:tcBorders>
              <w:top w:val="double" w:sz="4" w:space="0" w:color="auto"/>
              <w:left w:val="nil"/>
              <w:bottom w:val="single" w:sz="4" w:space="0" w:color="auto"/>
              <w:right w:val="nil"/>
            </w:tcBorders>
            <w:shd w:val="clear" w:color="auto" w:fill="auto"/>
            <w:vAlign w:val="center"/>
          </w:tcPr>
          <w:p w14:paraId="1D4E1A80" w14:textId="77777777" w:rsidR="00957C11" w:rsidRPr="002F46D0" w:rsidRDefault="0014656D" w:rsidP="002B2D50">
            <w:pPr>
              <w:jc w:val="right"/>
              <w:rPr>
                <w:rFonts w:ascii="Arial" w:hAnsi="Arial" w:cs="Arial"/>
                <w:b/>
                <w:sz w:val="18"/>
                <w:szCs w:val="18"/>
              </w:rPr>
            </w:pPr>
            <w:r w:rsidRPr="002F46D0">
              <w:rPr>
                <w:rFonts w:ascii="Arial" w:hAnsi="Arial" w:cs="Arial"/>
                <w:b/>
                <w:sz w:val="18"/>
                <w:szCs w:val="18"/>
              </w:rPr>
              <w:t xml:space="preserve">A R T I C L </w:t>
            </w:r>
            <w:proofErr w:type="gramStart"/>
            <w:r w:rsidRPr="002F46D0">
              <w:rPr>
                <w:rFonts w:ascii="Arial" w:hAnsi="Arial" w:cs="Arial"/>
                <w:b/>
                <w:sz w:val="18"/>
                <w:szCs w:val="18"/>
              </w:rPr>
              <w:t>E  I</w:t>
            </w:r>
            <w:proofErr w:type="gramEnd"/>
            <w:r w:rsidRPr="002F46D0">
              <w:rPr>
                <w:rFonts w:ascii="Arial" w:hAnsi="Arial" w:cs="Arial"/>
                <w:b/>
                <w:sz w:val="18"/>
                <w:szCs w:val="18"/>
              </w:rPr>
              <w:t xml:space="preserve"> N F O</w:t>
            </w:r>
          </w:p>
        </w:tc>
        <w:tc>
          <w:tcPr>
            <w:tcW w:w="283" w:type="dxa"/>
            <w:tcBorders>
              <w:top w:val="double" w:sz="4" w:space="0" w:color="auto"/>
              <w:left w:val="nil"/>
              <w:bottom w:val="nil"/>
              <w:right w:val="nil"/>
            </w:tcBorders>
            <w:shd w:val="clear" w:color="auto" w:fill="auto"/>
            <w:vAlign w:val="center"/>
          </w:tcPr>
          <w:p w14:paraId="585B606A" w14:textId="77777777" w:rsidR="00957C11" w:rsidRPr="002F46D0" w:rsidRDefault="00957C11" w:rsidP="004D0AC0">
            <w:pPr>
              <w:jc w:val="both"/>
              <w:rPr>
                <w:rFonts w:ascii="Arial" w:hAnsi="Arial" w:cs="Arial"/>
                <w:sz w:val="18"/>
                <w:szCs w:val="18"/>
              </w:rPr>
            </w:pPr>
          </w:p>
        </w:tc>
        <w:tc>
          <w:tcPr>
            <w:tcW w:w="5704" w:type="dxa"/>
            <w:tcBorders>
              <w:top w:val="double" w:sz="4" w:space="0" w:color="auto"/>
              <w:left w:val="nil"/>
              <w:bottom w:val="single" w:sz="4" w:space="0" w:color="auto"/>
              <w:right w:val="nil"/>
            </w:tcBorders>
            <w:shd w:val="clear" w:color="auto" w:fill="auto"/>
            <w:vAlign w:val="center"/>
          </w:tcPr>
          <w:p w14:paraId="448E9A06" w14:textId="5D604988" w:rsidR="00957C11" w:rsidRPr="002F46D0" w:rsidRDefault="00957C11" w:rsidP="004D0AC0">
            <w:pPr>
              <w:jc w:val="both"/>
              <w:rPr>
                <w:rFonts w:ascii="Arial" w:hAnsi="Arial" w:cs="Arial"/>
                <w:color w:val="000000"/>
                <w:sz w:val="18"/>
                <w:szCs w:val="18"/>
              </w:rPr>
            </w:pPr>
            <w:r w:rsidRPr="002F46D0">
              <w:rPr>
                <w:rFonts w:ascii="Arial" w:hAnsi="Arial" w:cs="Arial"/>
                <w:b/>
                <w:bCs/>
                <w:iCs/>
                <w:color w:val="000000"/>
                <w:sz w:val="18"/>
                <w:szCs w:val="18"/>
              </w:rPr>
              <w:t>ABSTRA</w:t>
            </w:r>
            <w:r w:rsidR="002B2D50">
              <w:rPr>
                <w:rFonts w:ascii="Arial" w:hAnsi="Arial" w:cs="Arial"/>
                <w:b/>
                <w:bCs/>
                <w:iCs/>
                <w:color w:val="000000"/>
                <w:sz w:val="18"/>
                <w:szCs w:val="18"/>
              </w:rPr>
              <w:t>K</w:t>
            </w:r>
          </w:p>
        </w:tc>
      </w:tr>
      <w:tr w:rsidR="00941203" w:rsidRPr="002F46D0" w14:paraId="10F1044E" w14:textId="77777777" w:rsidTr="002F46D0">
        <w:trPr>
          <w:trHeight w:val="1268"/>
        </w:trPr>
        <w:tc>
          <w:tcPr>
            <w:tcW w:w="2802" w:type="dxa"/>
            <w:tcBorders>
              <w:top w:val="single" w:sz="4" w:space="0" w:color="auto"/>
              <w:left w:val="nil"/>
              <w:bottom w:val="single" w:sz="4" w:space="0" w:color="auto"/>
              <w:right w:val="nil"/>
            </w:tcBorders>
            <w:shd w:val="clear" w:color="auto" w:fill="auto"/>
          </w:tcPr>
          <w:p w14:paraId="7C1B3124" w14:textId="77777777" w:rsidR="00941203" w:rsidRPr="002F46D0" w:rsidRDefault="00941203" w:rsidP="002B2D50">
            <w:pPr>
              <w:spacing w:before="120" w:after="120"/>
              <w:jc w:val="right"/>
              <w:rPr>
                <w:rFonts w:ascii="Arial" w:hAnsi="Arial" w:cs="Arial"/>
                <w:b/>
                <w:i/>
                <w:sz w:val="18"/>
                <w:szCs w:val="18"/>
              </w:rPr>
            </w:pPr>
            <w:r w:rsidRPr="002F46D0">
              <w:rPr>
                <w:rFonts w:ascii="Arial" w:hAnsi="Arial" w:cs="Arial"/>
                <w:b/>
                <w:i/>
                <w:sz w:val="18"/>
                <w:szCs w:val="18"/>
              </w:rPr>
              <w:t>Article history:</w:t>
            </w:r>
          </w:p>
          <w:p w14:paraId="3A391B0E" w14:textId="1A785FB2" w:rsidR="00941203" w:rsidRPr="002F46D0" w:rsidRDefault="00941203" w:rsidP="002B2D50">
            <w:pPr>
              <w:jc w:val="right"/>
              <w:rPr>
                <w:rFonts w:ascii="Arial" w:hAnsi="Arial" w:cs="Arial"/>
                <w:sz w:val="18"/>
                <w:szCs w:val="18"/>
              </w:rPr>
            </w:pPr>
            <w:r w:rsidRPr="002F46D0">
              <w:rPr>
                <w:rFonts w:ascii="Arial" w:hAnsi="Arial" w:cs="Arial"/>
                <w:sz w:val="18"/>
                <w:szCs w:val="18"/>
              </w:rPr>
              <w:t>Received</w:t>
            </w:r>
            <w:r w:rsidR="002F46D0" w:rsidRPr="002F46D0">
              <w:rPr>
                <w:rFonts w:ascii="Arial" w:hAnsi="Arial" w:cs="Arial"/>
                <w:sz w:val="18"/>
                <w:szCs w:val="18"/>
              </w:rPr>
              <w:t>:</w:t>
            </w:r>
            <w:r w:rsidRPr="002F46D0">
              <w:rPr>
                <w:rFonts w:ascii="Arial" w:hAnsi="Arial" w:cs="Arial"/>
                <w:sz w:val="18"/>
                <w:szCs w:val="18"/>
              </w:rPr>
              <w:t xml:space="preserve"> </w:t>
            </w:r>
            <w:r w:rsidR="0085352C" w:rsidRPr="002F46D0">
              <w:rPr>
                <w:rFonts w:ascii="Arial" w:hAnsi="Arial" w:cs="Arial"/>
                <w:sz w:val="18"/>
                <w:szCs w:val="18"/>
              </w:rPr>
              <w:t>Jun</w:t>
            </w:r>
            <w:r w:rsidR="00FF0C10">
              <w:rPr>
                <w:rFonts w:ascii="Arial" w:hAnsi="Arial" w:cs="Arial"/>
                <w:sz w:val="18"/>
                <w:szCs w:val="18"/>
              </w:rPr>
              <w:t>e</w:t>
            </w:r>
            <w:r w:rsidR="00FF3922" w:rsidRPr="002F46D0">
              <w:rPr>
                <w:rFonts w:ascii="Arial" w:hAnsi="Arial" w:cs="Arial"/>
                <w:sz w:val="18"/>
                <w:szCs w:val="18"/>
              </w:rPr>
              <w:t xml:space="preserve"> </w:t>
            </w:r>
            <w:r w:rsidR="00FF0C10">
              <w:rPr>
                <w:rFonts w:ascii="Arial" w:hAnsi="Arial" w:cs="Arial"/>
                <w:sz w:val="18"/>
                <w:szCs w:val="18"/>
              </w:rPr>
              <w:t>3</w:t>
            </w:r>
            <w:r w:rsidRPr="002F46D0">
              <w:rPr>
                <w:rFonts w:ascii="Arial" w:hAnsi="Arial" w:cs="Arial"/>
                <w:sz w:val="18"/>
                <w:szCs w:val="18"/>
              </w:rPr>
              <w:t>, 20</w:t>
            </w:r>
            <w:r w:rsidR="00FF0C10">
              <w:rPr>
                <w:rFonts w:ascii="Arial" w:hAnsi="Arial" w:cs="Arial"/>
                <w:sz w:val="18"/>
                <w:szCs w:val="18"/>
              </w:rPr>
              <w:t>25</w:t>
            </w:r>
          </w:p>
          <w:p w14:paraId="3BCFADFF" w14:textId="655F702B" w:rsidR="00941203" w:rsidRPr="002F46D0" w:rsidRDefault="00941203" w:rsidP="002B2D50">
            <w:pPr>
              <w:jc w:val="right"/>
              <w:rPr>
                <w:rFonts w:ascii="Arial" w:hAnsi="Arial" w:cs="Arial"/>
                <w:sz w:val="18"/>
                <w:szCs w:val="18"/>
              </w:rPr>
            </w:pPr>
            <w:r w:rsidRPr="002F46D0">
              <w:rPr>
                <w:rFonts w:ascii="Arial" w:hAnsi="Arial" w:cs="Arial"/>
                <w:sz w:val="18"/>
                <w:szCs w:val="18"/>
              </w:rPr>
              <w:t>Revised</w:t>
            </w:r>
            <w:r w:rsidR="002F46D0" w:rsidRPr="002F46D0">
              <w:rPr>
                <w:rFonts w:ascii="Arial" w:hAnsi="Arial" w:cs="Arial"/>
                <w:sz w:val="18"/>
                <w:szCs w:val="18"/>
              </w:rPr>
              <w:t>:</w:t>
            </w:r>
            <w:r w:rsidRPr="002F46D0">
              <w:rPr>
                <w:rFonts w:ascii="Arial" w:hAnsi="Arial" w:cs="Arial"/>
                <w:sz w:val="18"/>
                <w:szCs w:val="18"/>
              </w:rPr>
              <w:t xml:space="preserve"> </w:t>
            </w:r>
            <w:r w:rsidR="00FF0C10" w:rsidRPr="002F46D0">
              <w:rPr>
                <w:rFonts w:ascii="Arial" w:hAnsi="Arial" w:cs="Arial"/>
                <w:sz w:val="18"/>
                <w:szCs w:val="18"/>
              </w:rPr>
              <w:t>Jun</w:t>
            </w:r>
            <w:r w:rsidR="00FF0C10">
              <w:rPr>
                <w:rFonts w:ascii="Arial" w:hAnsi="Arial" w:cs="Arial"/>
                <w:sz w:val="18"/>
                <w:szCs w:val="18"/>
              </w:rPr>
              <w:t>e</w:t>
            </w:r>
            <w:r w:rsidR="00FF0C10" w:rsidRPr="002F46D0">
              <w:rPr>
                <w:rFonts w:ascii="Arial" w:hAnsi="Arial" w:cs="Arial"/>
                <w:sz w:val="18"/>
                <w:szCs w:val="18"/>
              </w:rPr>
              <w:t xml:space="preserve"> </w:t>
            </w:r>
            <w:r w:rsidR="00FF0C10">
              <w:rPr>
                <w:rFonts w:ascii="Arial" w:hAnsi="Arial" w:cs="Arial"/>
                <w:sz w:val="18"/>
                <w:szCs w:val="18"/>
              </w:rPr>
              <w:t>18</w:t>
            </w:r>
            <w:r w:rsidRPr="002F46D0">
              <w:rPr>
                <w:rFonts w:ascii="Arial" w:hAnsi="Arial" w:cs="Arial"/>
                <w:sz w:val="18"/>
                <w:szCs w:val="18"/>
              </w:rPr>
              <w:t xml:space="preserve">, </w:t>
            </w:r>
            <w:r w:rsidR="00FF0C10" w:rsidRPr="002F46D0">
              <w:rPr>
                <w:rFonts w:ascii="Arial" w:hAnsi="Arial" w:cs="Arial"/>
                <w:sz w:val="18"/>
                <w:szCs w:val="18"/>
              </w:rPr>
              <w:t>20</w:t>
            </w:r>
            <w:r w:rsidR="00FF0C10">
              <w:rPr>
                <w:rFonts w:ascii="Arial" w:hAnsi="Arial" w:cs="Arial"/>
                <w:sz w:val="18"/>
                <w:szCs w:val="18"/>
              </w:rPr>
              <w:t>25</w:t>
            </w:r>
          </w:p>
          <w:p w14:paraId="2952D52C" w14:textId="47AD4971" w:rsidR="00941203" w:rsidRPr="002F46D0" w:rsidRDefault="00941203" w:rsidP="002B2D50">
            <w:pPr>
              <w:jc w:val="right"/>
              <w:rPr>
                <w:rFonts w:ascii="Arial" w:hAnsi="Arial" w:cs="Arial"/>
                <w:sz w:val="18"/>
                <w:szCs w:val="18"/>
              </w:rPr>
            </w:pPr>
            <w:r w:rsidRPr="002F46D0">
              <w:rPr>
                <w:rFonts w:ascii="Arial" w:hAnsi="Arial" w:cs="Arial"/>
                <w:sz w:val="18"/>
                <w:szCs w:val="18"/>
              </w:rPr>
              <w:t>Accepted</w:t>
            </w:r>
            <w:r w:rsidR="002F46D0" w:rsidRPr="002F46D0">
              <w:rPr>
                <w:rFonts w:ascii="Arial" w:hAnsi="Arial" w:cs="Arial"/>
                <w:sz w:val="18"/>
                <w:szCs w:val="18"/>
              </w:rPr>
              <w:t>:</w:t>
            </w:r>
            <w:r w:rsidRPr="002F46D0">
              <w:rPr>
                <w:rFonts w:ascii="Arial" w:hAnsi="Arial" w:cs="Arial"/>
                <w:sz w:val="18"/>
                <w:szCs w:val="18"/>
              </w:rPr>
              <w:t xml:space="preserve"> </w:t>
            </w:r>
            <w:r w:rsidR="00FF0C10" w:rsidRPr="002F46D0">
              <w:rPr>
                <w:rFonts w:ascii="Arial" w:hAnsi="Arial" w:cs="Arial"/>
                <w:sz w:val="18"/>
                <w:szCs w:val="18"/>
              </w:rPr>
              <w:t>Jun</w:t>
            </w:r>
            <w:r w:rsidR="00FF0C10">
              <w:rPr>
                <w:rFonts w:ascii="Arial" w:hAnsi="Arial" w:cs="Arial"/>
                <w:sz w:val="18"/>
                <w:szCs w:val="18"/>
              </w:rPr>
              <w:t>e</w:t>
            </w:r>
            <w:r w:rsidR="00FF0C10" w:rsidRPr="002F46D0">
              <w:rPr>
                <w:rFonts w:ascii="Arial" w:hAnsi="Arial" w:cs="Arial"/>
                <w:sz w:val="18"/>
                <w:szCs w:val="18"/>
              </w:rPr>
              <w:t xml:space="preserve"> </w:t>
            </w:r>
            <w:r w:rsidR="00FF0C10">
              <w:rPr>
                <w:rFonts w:ascii="Arial" w:hAnsi="Arial" w:cs="Arial"/>
                <w:sz w:val="18"/>
                <w:szCs w:val="18"/>
              </w:rPr>
              <w:t>25</w:t>
            </w:r>
            <w:r w:rsidRPr="002F46D0">
              <w:rPr>
                <w:rFonts w:ascii="Arial" w:hAnsi="Arial" w:cs="Arial"/>
                <w:sz w:val="18"/>
                <w:szCs w:val="18"/>
              </w:rPr>
              <w:t xml:space="preserve">, </w:t>
            </w:r>
            <w:r w:rsidR="00FF0C10" w:rsidRPr="002F46D0">
              <w:rPr>
                <w:rFonts w:ascii="Arial" w:hAnsi="Arial" w:cs="Arial"/>
                <w:sz w:val="18"/>
                <w:szCs w:val="18"/>
              </w:rPr>
              <w:t>20</w:t>
            </w:r>
            <w:r w:rsidR="00FF0C10">
              <w:rPr>
                <w:rFonts w:ascii="Arial" w:hAnsi="Arial" w:cs="Arial"/>
                <w:sz w:val="18"/>
                <w:szCs w:val="18"/>
              </w:rPr>
              <w:t>25</w:t>
            </w:r>
          </w:p>
          <w:p w14:paraId="69C8C20A" w14:textId="77777777" w:rsidR="00941203" w:rsidRPr="002F46D0" w:rsidRDefault="00941203" w:rsidP="004D0AC0">
            <w:pPr>
              <w:jc w:val="both"/>
              <w:rPr>
                <w:rFonts w:ascii="Arial" w:hAnsi="Arial" w:cs="Arial"/>
                <w:sz w:val="18"/>
                <w:szCs w:val="18"/>
              </w:rPr>
            </w:pPr>
          </w:p>
        </w:tc>
        <w:tc>
          <w:tcPr>
            <w:tcW w:w="283" w:type="dxa"/>
            <w:vMerge w:val="restart"/>
            <w:tcBorders>
              <w:top w:val="nil"/>
              <w:left w:val="nil"/>
              <w:bottom w:val="nil"/>
              <w:right w:val="nil"/>
            </w:tcBorders>
            <w:shd w:val="clear" w:color="auto" w:fill="auto"/>
          </w:tcPr>
          <w:p w14:paraId="55C8D74B" w14:textId="77777777" w:rsidR="00941203" w:rsidRPr="002F46D0" w:rsidRDefault="00941203" w:rsidP="004D0AC0">
            <w:pPr>
              <w:spacing w:before="120"/>
              <w:jc w:val="both"/>
              <w:rPr>
                <w:rFonts w:ascii="Arial" w:hAnsi="Arial" w:cs="Arial"/>
                <w:sz w:val="18"/>
                <w:szCs w:val="18"/>
              </w:rPr>
            </w:pPr>
          </w:p>
        </w:tc>
        <w:tc>
          <w:tcPr>
            <w:tcW w:w="5704" w:type="dxa"/>
            <w:vMerge w:val="restart"/>
            <w:tcBorders>
              <w:top w:val="single" w:sz="4" w:space="0" w:color="auto"/>
              <w:left w:val="nil"/>
              <w:bottom w:val="nil"/>
              <w:right w:val="nil"/>
            </w:tcBorders>
            <w:shd w:val="clear" w:color="auto" w:fill="auto"/>
          </w:tcPr>
          <w:p w14:paraId="14F83409" w14:textId="4DBFC70B" w:rsidR="00941203" w:rsidRPr="002F46D0" w:rsidRDefault="006D0038" w:rsidP="004D0AC0">
            <w:pPr>
              <w:spacing w:before="120"/>
              <w:ind w:right="-113"/>
              <w:jc w:val="both"/>
              <w:rPr>
                <w:rFonts w:ascii="Arial" w:hAnsi="Arial" w:cs="Arial"/>
                <w:sz w:val="18"/>
                <w:szCs w:val="18"/>
              </w:rPr>
            </w:pPr>
            <w:proofErr w:type="spellStart"/>
            <w:r w:rsidRPr="006D0038">
              <w:rPr>
                <w:rFonts w:ascii="Arial" w:hAnsi="Arial" w:cs="Arial"/>
                <w:iCs/>
                <w:color w:val="000000"/>
                <w:sz w:val="18"/>
                <w:szCs w:val="18"/>
              </w:rPr>
              <w:t>Penelitian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mengkaji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dinamika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integrasi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di Indonesia </w:t>
            </w:r>
            <w:proofErr w:type="spellStart"/>
            <w:r w:rsidRPr="006D0038">
              <w:rPr>
                <w:rFonts w:ascii="Arial" w:hAnsi="Arial" w:cs="Arial"/>
                <w:iCs/>
                <w:color w:val="000000"/>
                <w:sz w:val="18"/>
                <w:szCs w:val="18"/>
              </w:rPr>
              <w:t>dalam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konteks</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pluralisme</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yang </w:t>
            </w:r>
            <w:proofErr w:type="spellStart"/>
            <w:r w:rsidRPr="006D0038">
              <w:rPr>
                <w:rFonts w:ascii="Arial" w:hAnsi="Arial" w:cs="Arial"/>
                <w:iCs/>
                <w:color w:val="000000"/>
                <w:sz w:val="18"/>
                <w:szCs w:val="18"/>
              </w:rPr>
              <w:t>mencakup</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adat</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Islam, dan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negara. </w:t>
            </w:r>
            <w:proofErr w:type="spellStart"/>
            <w:r w:rsidRPr="006D0038">
              <w:rPr>
                <w:rFonts w:ascii="Arial" w:hAnsi="Arial" w:cs="Arial"/>
                <w:iCs/>
                <w:color w:val="000000"/>
                <w:sz w:val="18"/>
                <w:szCs w:val="18"/>
              </w:rPr>
              <w:t>Dengan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menggunakan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metode</w:t>
            </w:r>
            <w:proofErr w:type="spellEnd"/>
            <w:r w:rsidRPr="006D0038">
              <w:rPr>
                <w:rFonts w:ascii="Arial" w:hAnsi="Arial" w:cs="Arial"/>
                <w:iCs/>
                <w:color w:val="000000"/>
                <w:sz w:val="18"/>
                <w:szCs w:val="18"/>
              </w:rPr>
              <w:t xml:space="preserve"> Systematic Literature Review (SLR), </w:t>
            </w:r>
            <w:proofErr w:type="spellStart"/>
            <w:r w:rsidRPr="006D0038">
              <w:rPr>
                <w:rFonts w:ascii="Arial" w:hAnsi="Arial" w:cs="Arial"/>
                <w:iCs/>
                <w:color w:val="000000"/>
                <w:sz w:val="18"/>
                <w:szCs w:val="18"/>
              </w:rPr>
              <w:t>kajian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menganalisis</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berbagai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pendekatan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keberhasilan</w:t>
            </w:r>
            <w:proofErr w:type="spellEnd"/>
            <w:r w:rsidRPr="006D0038">
              <w:rPr>
                <w:rFonts w:ascii="Arial" w:hAnsi="Arial" w:cs="Arial"/>
                <w:iCs/>
                <w:color w:val="000000"/>
                <w:sz w:val="18"/>
                <w:szCs w:val="18"/>
              </w:rPr>
              <w:t xml:space="preserve">, dan </w:t>
            </w:r>
            <w:proofErr w:type="spellStart"/>
            <w:r w:rsidRPr="006D0038">
              <w:rPr>
                <w:rFonts w:ascii="Arial" w:hAnsi="Arial" w:cs="Arial"/>
                <w:iCs/>
                <w:color w:val="000000"/>
                <w:sz w:val="18"/>
                <w:szCs w:val="18"/>
              </w:rPr>
              <w:t>tantangan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dalam</w:t>
            </w:r>
            <w:proofErr w:type="spellEnd"/>
            <w:r w:rsidRPr="006D0038">
              <w:rPr>
                <w:rFonts w:ascii="Arial" w:hAnsi="Arial" w:cs="Arial"/>
                <w:iCs/>
                <w:color w:val="000000"/>
                <w:sz w:val="18"/>
                <w:szCs w:val="18"/>
              </w:rPr>
              <w:t xml:space="preserve"> proses </w:t>
            </w:r>
            <w:proofErr w:type="spellStart"/>
            <w:r w:rsidRPr="006D0038">
              <w:rPr>
                <w:rFonts w:ascii="Arial" w:hAnsi="Arial" w:cs="Arial"/>
                <w:iCs/>
                <w:color w:val="000000"/>
                <w:sz w:val="18"/>
                <w:szCs w:val="18"/>
              </w:rPr>
              <w:t>integrasi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nasional</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berdasarkan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literatur</w:t>
            </w:r>
            <w:proofErr w:type="spellEnd"/>
            <w:r w:rsidRPr="006D0038">
              <w:rPr>
                <w:rFonts w:ascii="Arial" w:hAnsi="Arial" w:cs="Arial"/>
                <w:iCs/>
                <w:color w:val="000000"/>
                <w:sz w:val="18"/>
                <w:szCs w:val="18"/>
              </w:rPr>
              <w:t xml:space="preserve"> yang </w:t>
            </w:r>
            <w:proofErr w:type="spellStart"/>
            <w:r w:rsidRPr="006D0038">
              <w:rPr>
                <w:rFonts w:ascii="Arial" w:hAnsi="Arial" w:cs="Arial"/>
                <w:iCs/>
                <w:color w:val="000000"/>
                <w:sz w:val="18"/>
                <w:szCs w:val="18"/>
              </w:rPr>
              <w:t>terbit</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antara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tahun</w:t>
            </w:r>
            <w:proofErr w:type="spellEnd"/>
            <w:r w:rsidRPr="006D0038">
              <w:rPr>
                <w:rFonts w:ascii="Arial" w:hAnsi="Arial" w:cs="Arial"/>
                <w:iCs/>
                <w:color w:val="000000"/>
                <w:sz w:val="18"/>
                <w:szCs w:val="18"/>
              </w:rPr>
              <w:t xml:space="preserve"> 2000 </w:t>
            </w:r>
            <w:proofErr w:type="spellStart"/>
            <w:r w:rsidRPr="006D0038">
              <w:rPr>
                <w:rFonts w:ascii="Arial" w:hAnsi="Arial" w:cs="Arial"/>
                <w:iCs/>
                <w:color w:val="000000"/>
                <w:sz w:val="18"/>
                <w:szCs w:val="18"/>
              </w:rPr>
              <w:t>hingga</w:t>
            </w:r>
            <w:proofErr w:type="spellEnd"/>
            <w:r w:rsidRPr="006D0038">
              <w:rPr>
                <w:rFonts w:ascii="Arial" w:hAnsi="Arial" w:cs="Arial"/>
                <w:iCs/>
                <w:color w:val="000000"/>
                <w:sz w:val="18"/>
                <w:szCs w:val="18"/>
              </w:rPr>
              <w:t xml:space="preserve"> 2025. Hasil </w:t>
            </w:r>
            <w:proofErr w:type="spellStart"/>
            <w:r w:rsidRPr="006D0038">
              <w:rPr>
                <w:rFonts w:ascii="Arial" w:hAnsi="Arial" w:cs="Arial"/>
                <w:iCs/>
                <w:color w:val="000000"/>
                <w:sz w:val="18"/>
                <w:szCs w:val="18"/>
              </w:rPr>
              <w:t>kajian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menunjukkan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bahwa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integrasi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telah</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berkembang</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dalam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berbagai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aspek</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seperti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pengakuan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terhadap</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adat</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dalam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perundang-undangan</w:t>
            </w:r>
            <w:proofErr w:type="spellEnd"/>
            <w:r w:rsidRPr="006D0038">
              <w:rPr>
                <w:rFonts w:ascii="Arial" w:hAnsi="Arial" w:cs="Arial"/>
                <w:iCs/>
                <w:color w:val="000000"/>
                <w:sz w:val="18"/>
                <w:szCs w:val="18"/>
              </w:rPr>
              <w:t xml:space="preserve"> dan </w:t>
            </w:r>
            <w:proofErr w:type="spellStart"/>
            <w:r w:rsidRPr="006D0038">
              <w:rPr>
                <w:rFonts w:ascii="Arial" w:hAnsi="Arial" w:cs="Arial"/>
                <w:iCs/>
                <w:color w:val="000000"/>
                <w:sz w:val="18"/>
                <w:szCs w:val="18"/>
              </w:rPr>
              <w:t>penguatan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Islam di </w:t>
            </w:r>
            <w:proofErr w:type="spellStart"/>
            <w:r w:rsidRPr="006D0038">
              <w:rPr>
                <w:rFonts w:ascii="Arial" w:hAnsi="Arial" w:cs="Arial"/>
                <w:iCs/>
                <w:color w:val="000000"/>
                <w:sz w:val="18"/>
                <w:szCs w:val="18"/>
              </w:rPr>
              <w:t>sektor</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ekonomi</w:t>
            </w:r>
            <w:proofErr w:type="spellEnd"/>
            <w:r w:rsidRPr="006D0038">
              <w:rPr>
                <w:rFonts w:ascii="Arial" w:hAnsi="Arial" w:cs="Arial"/>
                <w:iCs/>
                <w:color w:val="000000"/>
                <w:sz w:val="18"/>
                <w:szCs w:val="18"/>
              </w:rPr>
              <w:t xml:space="preserve"> dan </w:t>
            </w:r>
            <w:proofErr w:type="spellStart"/>
            <w:r w:rsidRPr="006D0038">
              <w:rPr>
                <w:rFonts w:ascii="Arial" w:hAnsi="Arial" w:cs="Arial"/>
                <w:iCs/>
                <w:color w:val="000000"/>
                <w:sz w:val="18"/>
                <w:szCs w:val="18"/>
              </w:rPr>
              <w:t>keluarga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Namun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demikian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tantangan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seperti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tumpang</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tindih</w:t>
            </w:r>
            <w:proofErr w:type="spellEnd"/>
            <w:r w:rsidRPr="006D0038">
              <w:rPr>
                <w:rFonts w:ascii="Arial" w:hAnsi="Arial" w:cs="Arial"/>
                <w:iCs/>
                <w:color w:val="000000"/>
                <w:sz w:val="18"/>
                <w:szCs w:val="18"/>
              </w:rPr>
              <w:t xml:space="preserve"> norma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konflik</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yurisdiksi</w:t>
            </w:r>
            <w:proofErr w:type="spellEnd"/>
            <w:r w:rsidRPr="006D0038">
              <w:rPr>
                <w:rFonts w:ascii="Arial" w:hAnsi="Arial" w:cs="Arial"/>
                <w:iCs/>
                <w:color w:val="000000"/>
                <w:sz w:val="18"/>
                <w:szCs w:val="18"/>
              </w:rPr>
              <w:t xml:space="preserve">, dan </w:t>
            </w:r>
            <w:proofErr w:type="spellStart"/>
            <w:r w:rsidRPr="006D0038">
              <w:rPr>
                <w:rFonts w:ascii="Arial" w:hAnsi="Arial" w:cs="Arial"/>
                <w:iCs/>
                <w:color w:val="000000"/>
                <w:sz w:val="18"/>
                <w:szCs w:val="18"/>
              </w:rPr>
              <w:t>resistensi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lokal</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masih</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menjadi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hambatan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serius</w:t>
            </w:r>
            <w:proofErr w:type="spellEnd"/>
            <w:r w:rsidRPr="006D0038">
              <w:rPr>
                <w:rFonts w:ascii="Arial" w:hAnsi="Arial" w:cs="Arial"/>
                <w:iCs/>
                <w:color w:val="000000"/>
                <w:sz w:val="18"/>
                <w:szCs w:val="18"/>
              </w:rPr>
              <w:t xml:space="preserve">. Kajian </w:t>
            </w:r>
            <w:proofErr w:type="spellStart"/>
            <w:r w:rsidRPr="006D0038">
              <w:rPr>
                <w:rFonts w:ascii="Arial" w:hAnsi="Arial" w:cs="Arial"/>
                <w:iCs/>
                <w:color w:val="000000"/>
                <w:sz w:val="18"/>
                <w:szCs w:val="18"/>
              </w:rPr>
              <w:t>ini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memberikan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kontribusi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teoretis</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melalui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penyusunan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peta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konseptual</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integrasi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di Indonesia dan </w:t>
            </w:r>
            <w:proofErr w:type="spellStart"/>
            <w:r w:rsidRPr="006D0038">
              <w:rPr>
                <w:rFonts w:ascii="Arial" w:hAnsi="Arial" w:cs="Arial"/>
                <w:iCs/>
                <w:color w:val="000000"/>
                <w:sz w:val="18"/>
                <w:szCs w:val="18"/>
              </w:rPr>
              <w:t>membandingkan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praktiknya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dengan</w:t>
            </w:r>
            <w:proofErr w:type="spellEnd"/>
            <w:r w:rsidRPr="006D0038">
              <w:rPr>
                <w:rFonts w:ascii="Arial" w:hAnsi="Arial" w:cs="Arial"/>
                <w:iCs/>
                <w:color w:val="000000"/>
                <w:sz w:val="18"/>
                <w:szCs w:val="18"/>
              </w:rPr>
              <w:t xml:space="preserve"> negara </w:t>
            </w:r>
            <w:proofErr w:type="spellStart"/>
            <w:r w:rsidRPr="006D0038">
              <w:rPr>
                <w:rFonts w:ascii="Arial" w:hAnsi="Arial" w:cs="Arial"/>
                <w:iCs/>
                <w:color w:val="000000"/>
                <w:sz w:val="18"/>
                <w:szCs w:val="18"/>
              </w:rPr>
              <w:t>multikultural</w:t>
            </w:r>
            <w:proofErr w:type="spellEnd"/>
            <w:r w:rsidRPr="006D0038">
              <w:rPr>
                <w:rFonts w:ascii="Arial" w:hAnsi="Arial" w:cs="Arial"/>
                <w:iCs/>
                <w:color w:val="000000"/>
                <w:sz w:val="18"/>
                <w:szCs w:val="18"/>
              </w:rPr>
              <w:t xml:space="preserve"> lain </w:t>
            </w:r>
            <w:proofErr w:type="spellStart"/>
            <w:r w:rsidRPr="006D0038">
              <w:rPr>
                <w:rFonts w:ascii="Arial" w:hAnsi="Arial" w:cs="Arial"/>
                <w:iCs/>
                <w:color w:val="000000"/>
                <w:sz w:val="18"/>
                <w:szCs w:val="18"/>
              </w:rPr>
              <w:t>seperti</w:t>
            </w:r>
            <w:proofErr w:type="spellEnd"/>
            <w:r w:rsidRPr="006D0038">
              <w:rPr>
                <w:rFonts w:ascii="Arial" w:hAnsi="Arial" w:cs="Arial"/>
                <w:iCs/>
                <w:color w:val="000000"/>
                <w:sz w:val="18"/>
                <w:szCs w:val="18"/>
              </w:rPr>
              <w:t xml:space="preserve"> Malaysia dan Afrika Selatan. </w:t>
            </w:r>
            <w:proofErr w:type="spellStart"/>
            <w:r w:rsidRPr="006D0038">
              <w:rPr>
                <w:rFonts w:ascii="Arial" w:hAnsi="Arial" w:cs="Arial"/>
                <w:iCs/>
                <w:color w:val="000000"/>
                <w:sz w:val="18"/>
                <w:szCs w:val="18"/>
              </w:rPr>
              <w:t>Rekomendasi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utama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penelitian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ini</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menekankan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pentingnya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pendekatan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interdisipliner</w:t>
            </w:r>
            <w:proofErr w:type="spellEnd"/>
            <w:r w:rsidRPr="006D0038">
              <w:rPr>
                <w:rFonts w:ascii="Arial" w:hAnsi="Arial" w:cs="Arial"/>
                <w:iCs/>
                <w:color w:val="000000"/>
                <w:sz w:val="18"/>
                <w:szCs w:val="18"/>
              </w:rPr>
              <w:t xml:space="preserve"> dan </w:t>
            </w:r>
            <w:proofErr w:type="spellStart"/>
            <w:r w:rsidRPr="006D0038">
              <w:rPr>
                <w:rFonts w:ascii="Arial" w:hAnsi="Arial" w:cs="Arial"/>
                <w:iCs/>
                <w:color w:val="000000"/>
                <w:sz w:val="18"/>
                <w:szCs w:val="18"/>
              </w:rPr>
              <w:t>partisipatif</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dalam</w:t>
            </w:r>
            <w:proofErr w:type="spellEnd"/>
            <w:r w:rsidRPr="006D0038">
              <w:rPr>
                <w:rFonts w:ascii="Arial" w:hAnsi="Arial" w:cs="Arial"/>
                <w:iCs/>
                <w:color w:val="000000"/>
                <w:sz w:val="18"/>
                <w:szCs w:val="18"/>
              </w:rPr>
              <w:t xml:space="preserve"> reformasi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pengembangan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pendidikan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multikultural</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serta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perlunya</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kajian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empirik</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lanjutan</w:t>
            </w:r>
            <w:proofErr w:type="spellEnd"/>
            <w:r w:rsidRPr="006D0038">
              <w:rPr>
                <w:rFonts w:ascii="Arial" w:hAnsi="Arial" w:cs="Arial"/>
                <w:iCs/>
                <w:color w:val="000000"/>
                <w:sz w:val="18"/>
                <w:szCs w:val="18"/>
              </w:rPr>
              <w:t xml:space="preserve"> di </w:t>
            </w:r>
            <w:proofErr w:type="spellStart"/>
            <w:r w:rsidRPr="006D0038">
              <w:rPr>
                <w:rFonts w:ascii="Arial" w:hAnsi="Arial" w:cs="Arial"/>
                <w:iCs/>
                <w:color w:val="000000"/>
                <w:sz w:val="18"/>
                <w:szCs w:val="18"/>
              </w:rPr>
              <w:t>tingkat</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lokal</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untuk</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mendukung</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pembangunan</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sistem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hukum</w:t>
            </w:r>
            <w:proofErr w:type="spellEnd"/>
            <w:r w:rsidRPr="006D0038">
              <w:rPr>
                <w:rFonts w:ascii="Arial" w:hAnsi="Arial" w:cs="Arial"/>
                <w:iCs/>
                <w:color w:val="000000"/>
                <w:sz w:val="18"/>
                <w:szCs w:val="18"/>
              </w:rPr>
              <w:t xml:space="preserve"> </w:t>
            </w:r>
            <w:proofErr w:type="spellStart"/>
            <w:r w:rsidRPr="006D0038">
              <w:rPr>
                <w:rFonts w:ascii="Arial" w:hAnsi="Arial" w:cs="Arial"/>
                <w:iCs/>
                <w:color w:val="000000"/>
                <w:sz w:val="18"/>
                <w:szCs w:val="18"/>
              </w:rPr>
              <w:t>nasional</w:t>
            </w:r>
            <w:proofErr w:type="spellEnd"/>
            <w:r w:rsidRPr="006D0038">
              <w:rPr>
                <w:rFonts w:ascii="Arial" w:hAnsi="Arial" w:cs="Arial"/>
                <w:iCs/>
                <w:color w:val="000000"/>
                <w:sz w:val="18"/>
                <w:szCs w:val="18"/>
              </w:rPr>
              <w:t xml:space="preserve"> yang </w:t>
            </w:r>
            <w:proofErr w:type="spellStart"/>
            <w:r w:rsidRPr="006D0038">
              <w:rPr>
                <w:rFonts w:ascii="Arial" w:hAnsi="Arial" w:cs="Arial"/>
                <w:iCs/>
                <w:color w:val="000000"/>
                <w:sz w:val="18"/>
                <w:szCs w:val="18"/>
              </w:rPr>
              <w:t>inklusif</w:t>
            </w:r>
            <w:proofErr w:type="spellEnd"/>
            <w:r w:rsidRPr="006D0038">
              <w:rPr>
                <w:rFonts w:ascii="Arial" w:hAnsi="Arial" w:cs="Arial"/>
                <w:iCs/>
                <w:color w:val="000000"/>
                <w:sz w:val="18"/>
                <w:szCs w:val="18"/>
              </w:rPr>
              <w:t xml:space="preserve"> dan </w:t>
            </w:r>
            <w:proofErr w:type="spellStart"/>
            <w:r w:rsidRPr="006D0038">
              <w:rPr>
                <w:rFonts w:ascii="Arial" w:hAnsi="Arial" w:cs="Arial"/>
                <w:iCs/>
                <w:color w:val="000000"/>
                <w:sz w:val="18"/>
                <w:szCs w:val="18"/>
              </w:rPr>
              <w:t>kontekstual</w:t>
            </w:r>
            <w:proofErr w:type="spellEnd"/>
            <w:r w:rsidRPr="006D0038">
              <w:rPr>
                <w:rFonts w:ascii="Arial" w:hAnsi="Arial" w:cs="Arial"/>
                <w:iCs/>
                <w:color w:val="000000"/>
                <w:sz w:val="18"/>
                <w:szCs w:val="18"/>
              </w:rPr>
              <w:t>.</w:t>
            </w:r>
          </w:p>
        </w:tc>
      </w:tr>
      <w:tr w:rsidR="00941203" w:rsidRPr="002F46D0" w14:paraId="5CCE95CD" w14:textId="77777777" w:rsidTr="002F46D0">
        <w:trPr>
          <w:trHeight w:val="1231"/>
        </w:trPr>
        <w:tc>
          <w:tcPr>
            <w:tcW w:w="2802" w:type="dxa"/>
            <w:vMerge w:val="restart"/>
            <w:tcBorders>
              <w:top w:val="single" w:sz="4" w:space="0" w:color="auto"/>
              <w:left w:val="nil"/>
              <w:bottom w:val="single" w:sz="4" w:space="0" w:color="auto"/>
              <w:right w:val="nil"/>
            </w:tcBorders>
            <w:shd w:val="clear" w:color="auto" w:fill="auto"/>
          </w:tcPr>
          <w:p w14:paraId="093EDF4F" w14:textId="77777777" w:rsidR="00941203" w:rsidRPr="002F46D0" w:rsidRDefault="00941203" w:rsidP="002B2D50">
            <w:pPr>
              <w:spacing w:before="120" w:after="120"/>
              <w:jc w:val="right"/>
              <w:rPr>
                <w:rFonts w:ascii="Arial" w:hAnsi="Arial" w:cs="Arial"/>
                <w:b/>
                <w:i/>
                <w:sz w:val="18"/>
                <w:szCs w:val="18"/>
              </w:rPr>
            </w:pPr>
            <w:r w:rsidRPr="002F46D0">
              <w:rPr>
                <w:rFonts w:ascii="Arial" w:hAnsi="Arial" w:cs="Arial"/>
                <w:b/>
                <w:i/>
                <w:sz w:val="18"/>
                <w:szCs w:val="18"/>
              </w:rPr>
              <w:t>Keyword</w:t>
            </w:r>
            <w:r w:rsidR="005160A8" w:rsidRPr="002F46D0">
              <w:rPr>
                <w:rFonts w:ascii="Arial" w:hAnsi="Arial" w:cs="Arial"/>
                <w:b/>
                <w:i/>
                <w:sz w:val="18"/>
                <w:szCs w:val="18"/>
              </w:rPr>
              <w:t>s</w:t>
            </w:r>
            <w:r w:rsidRPr="002F46D0">
              <w:rPr>
                <w:rFonts w:ascii="Arial" w:hAnsi="Arial" w:cs="Arial"/>
                <w:b/>
                <w:i/>
                <w:sz w:val="18"/>
                <w:szCs w:val="18"/>
              </w:rPr>
              <w:t>:</w:t>
            </w:r>
          </w:p>
          <w:p w14:paraId="4C098B4D" w14:textId="46C6CBDF" w:rsidR="00941203" w:rsidRPr="002F46D0" w:rsidRDefault="006D0038" w:rsidP="004D0AC0">
            <w:pPr>
              <w:jc w:val="right"/>
              <w:rPr>
                <w:rFonts w:ascii="Arial" w:hAnsi="Arial" w:cs="Arial"/>
                <w:sz w:val="18"/>
                <w:szCs w:val="18"/>
              </w:rPr>
            </w:pPr>
            <w:r w:rsidRPr="006D0038">
              <w:rPr>
                <w:rFonts w:ascii="Arial" w:hAnsi="Arial" w:cs="Arial"/>
                <w:sz w:val="18"/>
                <w:szCs w:val="18"/>
              </w:rPr>
              <w:t xml:space="preserve">Hukum </w:t>
            </w:r>
            <w:proofErr w:type="gramStart"/>
            <w:r w:rsidRPr="006D0038">
              <w:rPr>
                <w:rFonts w:ascii="Arial" w:hAnsi="Arial" w:cs="Arial"/>
                <w:sz w:val="18"/>
                <w:szCs w:val="18"/>
              </w:rPr>
              <w:t>Adat</w:t>
            </w:r>
            <w:r w:rsidRPr="002F46D0">
              <w:rPr>
                <w:rFonts w:ascii="Arial" w:hAnsi="Arial" w:cs="Arial"/>
                <w:sz w:val="18"/>
                <w:szCs w:val="18"/>
              </w:rPr>
              <w:t>;</w:t>
            </w:r>
            <w:proofErr w:type="gramEnd"/>
          </w:p>
          <w:p w14:paraId="6E4B5068" w14:textId="15757597" w:rsidR="00941203" w:rsidRPr="002F46D0" w:rsidRDefault="006D0038" w:rsidP="004D0AC0">
            <w:pPr>
              <w:jc w:val="right"/>
              <w:rPr>
                <w:rFonts w:ascii="Arial" w:hAnsi="Arial" w:cs="Arial"/>
                <w:sz w:val="18"/>
                <w:szCs w:val="18"/>
              </w:rPr>
            </w:pPr>
            <w:r w:rsidRPr="006D0038">
              <w:rPr>
                <w:rFonts w:ascii="Arial" w:hAnsi="Arial" w:cs="Arial"/>
                <w:sz w:val="18"/>
                <w:szCs w:val="18"/>
              </w:rPr>
              <w:t xml:space="preserve">Hukum </w:t>
            </w:r>
            <w:proofErr w:type="gramStart"/>
            <w:r w:rsidRPr="006D0038">
              <w:rPr>
                <w:rFonts w:ascii="Arial" w:hAnsi="Arial" w:cs="Arial"/>
                <w:sz w:val="18"/>
                <w:szCs w:val="18"/>
              </w:rPr>
              <w:t>Islam</w:t>
            </w:r>
            <w:r w:rsidRPr="002F46D0">
              <w:rPr>
                <w:rFonts w:ascii="Arial" w:hAnsi="Arial" w:cs="Arial"/>
                <w:sz w:val="18"/>
                <w:szCs w:val="18"/>
              </w:rPr>
              <w:t>;</w:t>
            </w:r>
            <w:proofErr w:type="gramEnd"/>
          </w:p>
          <w:p w14:paraId="20485B02" w14:textId="04FAC89B" w:rsidR="00941203" w:rsidRDefault="006D0038" w:rsidP="004D0AC0">
            <w:pPr>
              <w:jc w:val="right"/>
              <w:rPr>
                <w:rFonts w:ascii="Arial" w:hAnsi="Arial" w:cs="Arial"/>
                <w:sz w:val="18"/>
                <w:szCs w:val="18"/>
              </w:rPr>
            </w:pPr>
            <w:r w:rsidRPr="006D0038">
              <w:rPr>
                <w:rFonts w:ascii="Arial" w:hAnsi="Arial" w:cs="Arial"/>
                <w:sz w:val="18"/>
                <w:szCs w:val="18"/>
              </w:rPr>
              <w:t xml:space="preserve">Integrasi </w:t>
            </w:r>
            <w:proofErr w:type="gramStart"/>
            <w:r w:rsidRPr="006D0038">
              <w:rPr>
                <w:rFonts w:ascii="Arial" w:hAnsi="Arial" w:cs="Arial"/>
                <w:sz w:val="18"/>
                <w:szCs w:val="18"/>
              </w:rPr>
              <w:t>Hukum</w:t>
            </w:r>
            <w:r>
              <w:rPr>
                <w:rFonts w:ascii="Arial" w:hAnsi="Arial" w:cs="Arial"/>
                <w:sz w:val="18"/>
                <w:szCs w:val="18"/>
              </w:rPr>
              <w:t>;</w:t>
            </w:r>
            <w:proofErr w:type="gramEnd"/>
          </w:p>
          <w:p w14:paraId="1411C76D" w14:textId="7D125B74" w:rsidR="007C17E9" w:rsidRDefault="006D0038" w:rsidP="004D0AC0">
            <w:pPr>
              <w:jc w:val="right"/>
              <w:rPr>
                <w:rFonts w:ascii="Arial" w:hAnsi="Arial" w:cs="Arial"/>
                <w:bCs/>
                <w:iCs/>
                <w:sz w:val="18"/>
                <w:szCs w:val="18"/>
              </w:rPr>
            </w:pPr>
            <w:proofErr w:type="spellStart"/>
            <w:r w:rsidRPr="006D0038">
              <w:rPr>
                <w:rFonts w:ascii="Arial" w:hAnsi="Arial" w:cs="Arial"/>
                <w:bCs/>
                <w:iCs/>
                <w:sz w:val="18"/>
                <w:szCs w:val="18"/>
              </w:rPr>
              <w:t>Pluralisme</w:t>
            </w:r>
            <w:proofErr w:type="spellEnd"/>
            <w:r w:rsidRPr="006D0038">
              <w:rPr>
                <w:rFonts w:ascii="Arial" w:hAnsi="Arial" w:cs="Arial"/>
                <w:bCs/>
                <w:iCs/>
                <w:sz w:val="18"/>
                <w:szCs w:val="18"/>
              </w:rPr>
              <w:t xml:space="preserve"> </w:t>
            </w:r>
            <w:proofErr w:type="gramStart"/>
            <w:r w:rsidRPr="006D0038">
              <w:rPr>
                <w:rFonts w:ascii="Arial" w:hAnsi="Arial" w:cs="Arial"/>
                <w:bCs/>
                <w:iCs/>
                <w:sz w:val="18"/>
                <w:szCs w:val="18"/>
              </w:rPr>
              <w:t>Hukum</w:t>
            </w:r>
            <w:r>
              <w:rPr>
                <w:rFonts w:ascii="Arial" w:hAnsi="Arial" w:cs="Arial"/>
                <w:bCs/>
                <w:iCs/>
                <w:sz w:val="18"/>
                <w:szCs w:val="18"/>
              </w:rPr>
              <w:t>;</w:t>
            </w:r>
            <w:proofErr w:type="gramEnd"/>
          </w:p>
          <w:p w14:paraId="5A58A336" w14:textId="1CDDB394" w:rsidR="007C17E9" w:rsidRPr="007C17E9" w:rsidRDefault="006D0038" w:rsidP="004D0AC0">
            <w:pPr>
              <w:jc w:val="right"/>
              <w:rPr>
                <w:rFonts w:ascii="Arial" w:hAnsi="Arial" w:cs="Arial"/>
                <w:bCs/>
                <w:iCs/>
                <w:sz w:val="18"/>
                <w:szCs w:val="18"/>
              </w:rPr>
            </w:pPr>
            <w:r w:rsidRPr="006D0038">
              <w:rPr>
                <w:rFonts w:ascii="Arial" w:hAnsi="Arial" w:cs="Arial"/>
                <w:bCs/>
                <w:iCs/>
                <w:sz w:val="18"/>
                <w:szCs w:val="18"/>
              </w:rPr>
              <w:t>Reformasi Hukum</w:t>
            </w:r>
            <w:r w:rsidR="00D30DDF">
              <w:rPr>
                <w:rFonts w:ascii="Arial" w:hAnsi="Arial" w:cs="Arial"/>
                <w:bCs/>
                <w:iCs/>
                <w:sz w:val="18"/>
                <w:szCs w:val="18"/>
              </w:rPr>
              <w:t>.</w:t>
            </w:r>
          </w:p>
        </w:tc>
        <w:tc>
          <w:tcPr>
            <w:tcW w:w="283" w:type="dxa"/>
            <w:vMerge/>
            <w:tcBorders>
              <w:top w:val="nil"/>
              <w:left w:val="nil"/>
              <w:bottom w:val="nil"/>
              <w:right w:val="nil"/>
            </w:tcBorders>
            <w:shd w:val="clear" w:color="auto" w:fill="auto"/>
          </w:tcPr>
          <w:p w14:paraId="157A2B28" w14:textId="77777777" w:rsidR="00941203" w:rsidRPr="002F46D0" w:rsidRDefault="00941203" w:rsidP="004D0AC0">
            <w:pPr>
              <w:spacing w:before="120"/>
              <w:jc w:val="both"/>
              <w:rPr>
                <w:rFonts w:ascii="Arial" w:hAnsi="Arial" w:cs="Arial"/>
                <w:sz w:val="18"/>
                <w:szCs w:val="18"/>
              </w:rPr>
            </w:pPr>
          </w:p>
        </w:tc>
        <w:tc>
          <w:tcPr>
            <w:tcW w:w="5704" w:type="dxa"/>
            <w:vMerge/>
            <w:tcBorders>
              <w:top w:val="nil"/>
              <w:left w:val="nil"/>
              <w:bottom w:val="nil"/>
              <w:right w:val="nil"/>
            </w:tcBorders>
            <w:shd w:val="clear" w:color="auto" w:fill="auto"/>
          </w:tcPr>
          <w:p w14:paraId="0AD65D86" w14:textId="77777777" w:rsidR="00941203" w:rsidRPr="002F46D0" w:rsidRDefault="00941203" w:rsidP="004D0AC0">
            <w:pPr>
              <w:spacing w:before="120"/>
              <w:jc w:val="both"/>
              <w:rPr>
                <w:rFonts w:ascii="Arial" w:hAnsi="Arial" w:cs="Arial"/>
                <w:iCs/>
                <w:color w:val="000000"/>
                <w:sz w:val="18"/>
                <w:szCs w:val="18"/>
              </w:rPr>
            </w:pPr>
          </w:p>
        </w:tc>
      </w:tr>
      <w:tr w:rsidR="00941203" w:rsidRPr="002F46D0" w14:paraId="436F34FF" w14:textId="77777777" w:rsidTr="002F46D0">
        <w:trPr>
          <w:trHeight w:val="70"/>
        </w:trPr>
        <w:tc>
          <w:tcPr>
            <w:tcW w:w="2802" w:type="dxa"/>
            <w:vMerge/>
            <w:tcBorders>
              <w:top w:val="single" w:sz="4" w:space="0" w:color="auto"/>
              <w:left w:val="nil"/>
              <w:bottom w:val="single" w:sz="4" w:space="0" w:color="auto"/>
              <w:right w:val="nil"/>
            </w:tcBorders>
            <w:shd w:val="clear" w:color="auto" w:fill="auto"/>
          </w:tcPr>
          <w:p w14:paraId="7C55B52E" w14:textId="77777777" w:rsidR="00941203" w:rsidRPr="002F46D0" w:rsidRDefault="00941203" w:rsidP="004D0AC0">
            <w:pPr>
              <w:spacing w:before="120" w:after="120"/>
              <w:jc w:val="both"/>
              <w:rPr>
                <w:rFonts w:ascii="Arial" w:hAnsi="Arial" w:cs="Arial"/>
                <w:b/>
                <w:i/>
                <w:sz w:val="18"/>
                <w:szCs w:val="18"/>
              </w:rPr>
            </w:pPr>
          </w:p>
        </w:tc>
        <w:tc>
          <w:tcPr>
            <w:tcW w:w="283" w:type="dxa"/>
            <w:vMerge/>
            <w:tcBorders>
              <w:top w:val="nil"/>
              <w:left w:val="nil"/>
              <w:bottom w:val="nil"/>
              <w:right w:val="nil"/>
            </w:tcBorders>
            <w:shd w:val="clear" w:color="auto" w:fill="auto"/>
          </w:tcPr>
          <w:p w14:paraId="7F14B27F" w14:textId="77777777" w:rsidR="00941203" w:rsidRPr="002F46D0" w:rsidRDefault="00941203" w:rsidP="004D0AC0">
            <w:pPr>
              <w:spacing w:before="120"/>
              <w:jc w:val="both"/>
              <w:rPr>
                <w:rFonts w:ascii="Arial" w:hAnsi="Arial" w:cs="Arial"/>
                <w:sz w:val="18"/>
                <w:szCs w:val="18"/>
              </w:rPr>
            </w:pPr>
          </w:p>
        </w:tc>
        <w:tc>
          <w:tcPr>
            <w:tcW w:w="5704" w:type="dxa"/>
            <w:tcBorders>
              <w:top w:val="nil"/>
              <w:left w:val="nil"/>
              <w:bottom w:val="single" w:sz="4" w:space="0" w:color="auto"/>
              <w:right w:val="nil"/>
            </w:tcBorders>
            <w:shd w:val="clear" w:color="auto" w:fill="auto"/>
          </w:tcPr>
          <w:p w14:paraId="5810BE07" w14:textId="030AD60D" w:rsidR="001414E2" w:rsidRPr="002F46D0" w:rsidRDefault="001414E2" w:rsidP="002B2D50">
            <w:pPr>
              <w:spacing w:before="120"/>
              <w:ind w:right="-113"/>
              <w:jc w:val="right"/>
              <w:rPr>
                <w:rFonts w:ascii="Arial" w:hAnsi="Arial" w:cs="Arial"/>
                <w:i/>
                <w:iCs/>
                <w:color w:val="000000"/>
                <w:sz w:val="18"/>
                <w:szCs w:val="18"/>
              </w:rPr>
            </w:pPr>
            <w:r w:rsidRPr="002F46D0">
              <w:rPr>
                <w:rFonts w:ascii="Arial" w:hAnsi="Arial" w:cs="Arial"/>
                <w:i/>
                <w:iCs/>
                <w:color w:val="000000"/>
                <w:sz w:val="18"/>
                <w:szCs w:val="18"/>
              </w:rPr>
              <w:t xml:space="preserve">This is an open access article under the </w:t>
            </w:r>
            <w:r w:rsidRPr="002F46D0">
              <w:rPr>
                <w:rFonts w:ascii="Arial" w:hAnsi="Arial" w:cs="Arial"/>
                <w:i/>
                <w:iCs/>
                <w:sz w:val="18"/>
                <w:szCs w:val="18"/>
              </w:rPr>
              <w:t>CC BY-</w:t>
            </w:r>
            <w:r w:rsidR="00C15B85" w:rsidRPr="002F46D0">
              <w:rPr>
                <w:rFonts w:ascii="Arial" w:hAnsi="Arial" w:cs="Arial"/>
                <w:i/>
                <w:iCs/>
                <w:sz w:val="18"/>
                <w:szCs w:val="18"/>
              </w:rPr>
              <w:t>NC</w:t>
            </w:r>
            <w:r w:rsidRPr="002F46D0">
              <w:rPr>
                <w:rFonts w:ascii="Arial" w:hAnsi="Arial" w:cs="Arial"/>
                <w:i/>
                <w:iCs/>
                <w:color w:val="000000"/>
                <w:sz w:val="18"/>
                <w:szCs w:val="18"/>
              </w:rPr>
              <w:t xml:space="preserve"> license.</w:t>
            </w:r>
          </w:p>
          <w:p w14:paraId="1556F12E" w14:textId="3C3E5FF3" w:rsidR="00941203" w:rsidRPr="002F46D0" w:rsidRDefault="003E62F5" w:rsidP="004D0AC0">
            <w:pPr>
              <w:spacing w:after="120"/>
              <w:ind w:right="-113"/>
              <w:jc w:val="both"/>
              <w:rPr>
                <w:rFonts w:ascii="Arial" w:hAnsi="Arial" w:cs="Arial"/>
                <w:i/>
                <w:iCs/>
                <w:color w:val="000000"/>
                <w:sz w:val="18"/>
                <w:szCs w:val="18"/>
              </w:rPr>
            </w:pPr>
            <w:r w:rsidRPr="002F46D0">
              <w:rPr>
                <w:rFonts w:ascii="Arial" w:hAnsi="Arial" w:cs="Arial"/>
                <w:i/>
                <w:iCs/>
                <w:noProof/>
                <w:color w:val="000000"/>
                <w:sz w:val="18"/>
                <w:szCs w:val="18"/>
              </w:rPr>
              <w:drawing>
                <wp:inline distT="0" distB="0" distL="0" distR="0" wp14:anchorId="01E59666" wp14:editId="69C4C174">
                  <wp:extent cx="655320" cy="22860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p>
        </w:tc>
      </w:tr>
      <w:tr w:rsidR="007F286F" w:rsidRPr="002F46D0" w14:paraId="5473911E" w14:textId="77777777" w:rsidTr="002F46D0">
        <w:tc>
          <w:tcPr>
            <w:tcW w:w="8789" w:type="dxa"/>
            <w:gridSpan w:val="3"/>
            <w:tcBorders>
              <w:top w:val="nil"/>
              <w:left w:val="nil"/>
              <w:bottom w:val="double" w:sz="4" w:space="0" w:color="auto"/>
              <w:right w:val="nil"/>
            </w:tcBorders>
            <w:shd w:val="clear" w:color="auto" w:fill="auto"/>
          </w:tcPr>
          <w:p w14:paraId="1C50F8D3" w14:textId="77777777" w:rsidR="007F286F" w:rsidRPr="002F46D0" w:rsidRDefault="007F286F" w:rsidP="004D0AC0">
            <w:pPr>
              <w:spacing w:before="120" w:after="120"/>
              <w:ind w:left="-113"/>
              <w:jc w:val="both"/>
              <w:rPr>
                <w:rFonts w:ascii="Arial" w:hAnsi="Arial" w:cs="Arial"/>
                <w:b/>
                <w:i/>
                <w:sz w:val="18"/>
                <w:szCs w:val="18"/>
              </w:rPr>
            </w:pPr>
            <w:r w:rsidRPr="002F46D0">
              <w:rPr>
                <w:rFonts w:ascii="Arial" w:hAnsi="Arial" w:cs="Arial"/>
                <w:b/>
                <w:i/>
                <w:sz w:val="18"/>
                <w:szCs w:val="18"/>
              </w:rPr>
              <w:t>Corresponding Author:</w:t>
            </w:r>
          </w:p>
          <w:p w14:paraId="7F7BFA34" w14:textId="77777777" w:rsidR="00BD11F4" w:rsidRDefault="00BD11F4" w:rsidP="002B2D50">
            <w:pPr>
              <w:ind w:left="-113"/>
              <w:jc w:val="both"/>
              <w:rPr>
                <w:rFonts w:ascii="Arial" w:hAnsi="Arial" w:cs="Arial"/>
                <w:sz w:val="18"/>
                <w:szCs w:val="18"/>
              </w:rPr>
            </w:pPr>
            <w:r w:rsidRPr="00BD11F4">
              <w:rPr>
                <w:rFonts w:ascii="Arial" w:hAnsi="Arial" w:cs="Arial"/>
                <w:sz w:val="18"/>
                <w:szCs w:val="18"/>
              </w:rPr>
              <w:t>Zulfikar</w:t>
            </w:r>
          </w:p>
          <w:p w14:paraId="78B203F0" w14:textId="17324B35" w:rsidR="00791724" w:rsidRDefault="00791724" w:rsidP="002B2D50">
            <w:pPr>
              <w:ind w:left="-113"/>
              <w:jc w:val="both"/>
              <w:rPr>
                <w:rFonts w:ascii="Arial" w:hAnsi="Arial" w:cs="Arial"/>
                <w:sz w:val="18"/>
                <w:szCs w:val="18"/>
              </w:rPr>
            </w:pPr>
            <w:proofErr w:type="spellStart"/>
            <w:r w:rsidRPr="00791724">
              <w:rPr>
                <w:rFonts w:ascii="Arial" w:hAnsi="Arial" w:cs="Arial"/>
                <w:sz w:val="18"/>
                <w:szCs w:val="18"/>
              </w:rPr>
              <w:t>Fakultas</w:t>
            </w:r>
            <w:proofErr w:type="spellEnd"/>
            <w:r w:rsidRPr="00791724">
              <w:rPr>
                <w:rFonts w:ascii="Arial" w:hAnsi="Arial" w:cs="Arial"/>
                <w:sz w:val="18"/>
                <w:szCs w:val="18"/>
              </w:rPr>
              <w:t xml:space="preserve"> </w:t>
            </w:r>
            <w:proofErr w:type="spellStart"/>
            <w:r w:rsidRPr="00791724">
              <w:rPr>
                <w:rFonts w:ascii="Arial" w:hAnsi="Arial" w:cs="Arial"/>
                <w:sz w:val="18"/>
                <w:szCs w:val="18"/>
              </w:rPr>
              <w:t>Ilmu</w:t>
            </w:r>
            <w:proofErr w:type="spellEnd"/>
            <w:r w:rsidRPr="00791724">
              <w:rPr>
                <w:rFonts w:ascii="Arial" w:hAnsi="Arial" w:cs="Arial"/>
                <w:sz w:val="18"/>
                <w:szCs w:val="18"/>
              </w:rPr>
              <w:t xml:space="preserve"> Hukum Dan Pendidikan, Program Studi Hukum </w:t>
            </w:r>
          </w:p>
          <w:p w14:paraId="1A997DBF" w14:textId="3E059F03" w:rsidR="007F286F" w:rsidRPr="002F46D0" w:rsidRDefault="002B2D50" w:rsidP="002B2D50">
            <w:pPr>
              <w:ind w:left="-113"/>
              <w:jc w:val="both"/>
              <w:rPr>
                <w:rFonts w:ascii="Arial" w:hAnsi="Arial" w:cs="Arial"/>
                <w:sz w:val="18"/>
                <w:szCs w:val="18"/>
              </w:rPr>
            </w:pPr>
            <w:r w:rsidRPr="002B2D50">
              <w:rPr>
                <w:rFonts w:ascii="Arial" w:hAnsi="Arial" w:cs="Arial"/>
                <w:sz w:val="18"/>
                <w:szCs w:val="18"/>
              </w:rPr>
              <w:t xml:space="preserve">Universitas Putra Abadi </w:t>
            </w:r>
            <w:proofErr w:type="spellStart"/>
            <w:r w:rsidRPr="002B2D50">
              <w:rPr>
                <w:rFonts w:ascii="Arial" w:hAnsi="Arial" w:cs="Arial"/>
                <w:sz w:val="18"/>
                <w:szCs w:val="18"/>
              </w:rPr>
              <w:t>Langkat</w:t>
            </w:r>
            <w:proofErr w:type="spellEnd"/>
            <w:r w:rsidR="00941203" w:rsidRPr="002F46D0">
              <w:rPr>
                <w:rFonts w:ascii="Arial" w:hAnsi="Arial" w:cs="Arial"/>
                <w:sz w:val="18"/>
                <w:szCs w:val="18"/>
              </w:rPr>
              <w:t>,</w:t>
            </w:r>
          </w:p>
          <w:p w14:paraId="0D79C7B4" w14:textId="4FB0C38B" w:rsidR="007F286F" w:rsidRPr="002F46D0" w:rsidRDefault="002B2D50" w:rsidP="004D0AC0">
            <w:pPr>
              <w:ind w:left="-113"/>
              <w:jc w:val="both"/>
              <w:rPr>
                <w:rFonts w:ascii="Arial" w:hAnsi="Arial" w:cs="Arial"/>
                <w:sz w:val="18"/>
                <w:szCs w:val="18"/>
              </w:rPr>
            </w:pPr>
            <w:r w:rsidRPr="002B2D50">
              <w:rPr>
                <w:rFonts w:ascii="Arial" w:hAnsi="Arial" w:cs="Arial"/>
                <w:sz w:val="18"/>
                <w:szCs w:val="18"/>
              </w:rPr>
              <w:t xml:space="preserve">Jl. </w:t>
            </w:r>
            <w:proofErr w:type="spellStart"/>
            <w:r w:rsidRPr="002B2D50">
              <w:rPr>
                <w:rFonts w:ascii="Arial" w:hAnsi="Arial" w:cs="Arial"/>
                <w:sz w:val="18"/>
                <w:szCs w:val="18"/>
              </w:rPr>
              <w:t>Letjen</w:t>
            </w:r>
            <w:proofErr w:type="spellEnd"/>
            <w:r w:rsidRPr="002B2D50">
              <w:rPr>
                <w:rFonts w:ascii="Arial" w:hAnsi="Arial" w:cs="Arial"/>
                <w:sz w:val="18"/>
                <w:szCs w:val="18"/>
              </w:rPr>
              <w:t xml:space="preserve"> R. </w:t>
            </w:r>
            <w:proofErr w:type="spellStart"/>
            <w:r w:rsidRPr="002B2D50">
              <w:rPr>
                <w:rFonts w:ascii="Arial" w:hAnsi="Arial" w:cs="Arial"/>
                <w:sz w:val="18"/>
                <w:szCs w:val="18"/>
              </w:rPr>
              <w:t>Soeprapto</w:t>
            </w:r>
            <w:proofErr w:type="spellEnd"/>
            <w:r w:rsidRPr="002B2D50">
              <w:rPr>
                <w:rFonts w:ascii="Arial" w:hAnsi="Arial" w:cs="Arial"/>
                <w:sz w:val="18"/>
                <w:szCs w:val="18"/>
              </w:rPr>
              <w:t xml:space="preserve"> No.10, Sumatera Utara. Indonesia 20814</w:t>
            </w:r>
            <w:r w:rsidR="00941203" w:rsidRPr="002F46D0">
              <w:rPr>
                <w:rFonts w:ascii="Arial" w:hAnsi="Arial" w:cs="Arial"/>
                <w:sz w:val="18"/>
                <w:szCs w:val="18"/>
              </w:rPr>
              <w:t>.</w:t>
            </w:r>
          </w:p>
          <w:p w14:paraId="13EF0A87" w14:textId="65B0F273" w:rsidR="00941203" w:rsidRPr="002F46D0" w:rsidRDefault="00941203" w:rsidP="004D0AC0">
            <w:pPr>
              <w:spacing w:after="120"/>
              <w:ind w:left="-113"/>
              <w:jc w:val="both"/>
              <w:rPr>
                <w:rFonts w:ascii="Arial" w:hAnsi="Arial" w:cs="Arial"/>
                <w:color w:val="000000"/>
                <w:sz w:val="18"/>
                <w:szCs w:val="18"/>
              </w:rPr>
            </w:pPr>
            <w:r w:rsidRPr="002F46D0">
              <w:rPr>
                <w:rFonts w:ascii="Arial" w:hAnsi="Arial" w:cs="Arial"/>
                <w:sz w:val="18"/>
                <w:szCs w:val="18"/>
              </w:rPr>
              <w:t xml:space="preserve">Email: </w:t>
            </w:r>
            <w:r w:rsidR="00BD11F4">
              <w:rPr>
                <w:rFonts w:ascii="Arial" w:hAnsi="Arial" w:cs="Arial"/>
                <w:sz w:val="18"/>
                <w:szCs w:val="18"/>
              </w:rPr>
              <w:t>z</w:t>
            </w:r>
            <w:r w:rsidR="00BD11F4" w:rsidRPr="00BD11F4">
              <w:rPr>
                <w:rFonts w:ascii="Arial" w:hAnsi="Arial" w:cs="Arial"/>
                <w:sz w:val="18"/>
                <w:szCs w:val="18"/>
              </w:rPr>
              <w:t>ulfikar</w:t>
            </w:r>
            <w:r w:rsidR="002B2D50" w:rsidRPr="002B2D50">
              <w:rPr>
                <w:rFonts w:ascii="Arial" w:hAnsi="Arial" w:cs="Arial"/>
                <w:sz w:val="18"/>
                <w:szCs w:val="18"/>
              </w:rPr>
              <w:t>@gmail.com</w:t>
            </w:r>
          </w:p>
        </w:tc>
      </w:tr>
    </w:tbl>
    <w:p w14:paraId="6F4E593B" w14:textId="77777777" w:rsidR="0077579D" w:rsidRDefault="002B2D50" w:rsidP="0077579D">
      <w:pPr>
        <w:numPr>
          <w:ilvl w:val="0"/>
          <w:numId w:val="15"/>
        </w:numPr>
        <w:tabs>
          <w:tab w:val="left" w:pos="426"/>
        </w:tabs>
        <w:spacing w:before="240" w:after="120"/>
        <w:ind w:left="426" w:hanging="426"/>
        <w:jc w:val="both"/>
        <w:rPr>
          <w:rFonts w:ascii="Arial" w:hAnsi="Arial" w:cs="Arial"/>
          <w:b/>
          <w:bCs/>
          <w:lang w:val="id-ID"/>
        </w:rPr>
      </w:pPr>
      <w:r>
        <w:rPr>
          <w:rFonts w:ascii="Arial" w:hAnsi="Arial" w:cs="Arial"/>
          <w:b/>
          <w:bCs/>
          <w:lang w:val="id-ID"/>
        </w:rPr>
        <w:t>PENDAHULUAN</w:t>
      </w:r>
    </w:p>
    <w:p w14:paraId="71BB67C4" w14:textId="77777777" w:rsidR="006D0038" w:rsidRDefault="006D0038" w:rsidP="006D0038">
      <w:pPr>
        <w:tabs>
          <w:tab w:val="left" w:pos="426"/>
        </w:tabs>
        <w:jc w:val="both"/>
        <w:rPr>
          <w:rFonts w:ascii="Arial" w:hAnsi="Arial" w:cs="Arial"/>
          <w:lang w:val="id-ID"/>
        </w:rPr>
      </w:pPr>
      <w:r w:rsidRPr="006D0038">
        <w:rPr>
          <w:rFonts w:ascii="Arial" w:hAnsi="Arial" w:cs="Arial"/>
          <w:lang w:val="id-ID"/>
        </w:rPr>
        <w:t>Indonesia memiliki sejarah hukum yang kompleks dan beragam, yang terbentuk dari perpaduan antara sistem hukum adat, hukum Islam, dan hukum warisan kolonial Belanda. Keberagaman ini menciptakan tantangan tersendiri dalam membangun sistem hukum nasional yang terpadu dan responsif terhadap kebutuhan masyarakat. Hukum adat, yang bersifat lokal dan berbasis komunitas, masih memiliki pengaruh kuat di banyak wilayah, terutama dalam penyelesaian sengketa tanah dan warisan. Di sisi lain, hukum Islam berkembang dalam aspek kehidupan keluarga dan ekonomi syariah, sementara sistem hukum kolonial yang terlembagakan melalui KUHP dan KUHPerdata masih menjadi pilar dalam praktik hukum positif (Fitriani, 2021). Upaya integrasi ketiga sistem hukum ini ke dalam satu sistem hukum nasional menuntut pendekatan multidimensi yang mencakup harmonisasi normatif, pendekatan sosio-legal, serta politik hukum yang inklusif.</w:t>
      </w:r>
    </w:p>
    <w:p w14:paraId="4DC4F5F7" w14:textId="77777777" w:rsidR="006D0038" w:rsidRDefault="006D0038" w:rsidP="006D0038">
      <w:pPr>
        <w:tabs>
          <w:tab w:val="left" w:pos="426"/>
        </w:tabs>
        <w:ind w:firstLine="709"/>
        <w:jc w:val="both"/>
        <w:rPr>
          <w:rFonts w:ascii="Arial" w:hAnsi="Arial" w:cs="Arial"/>
          <w:lang w:val="id-ID"/>
        </w:rPr>
      </w:pPr>
      <w:r w:rsidRPr="006D0038">
        <w:rPr>
          <w:rFonts w:ascii="Arial" w:hAnsi="Arial" w:cs="Arial"/>
          <w:lang w:val="id-ID"/>
        </w:rPr>
        <w:t>Rumusan masalah utama dalam konteks ini adalah bagaimana pendekatan yang digunakan dalam integrasi sistem hukum di Indonesia, serta tantangan-tantangan apa saja yang dihadapi dalam proses tersebut. Pendekatan yang lazim digunakan meliputi rekodifikasi hukum nasional, pengakuan terhadap pluralisme hukum secara terbatas, serta reformasi kelembagaan dan pendidikan hukum. Namun demikian, integrasi ini menghadapi tantangan serius, seperti resistensi budaya hukum lokal, lemahnya koordinasi antar-lembaga, serta minimnya partisipasi masyarakat dalam proses legislasi (Harahap &amp; Siregar, 2020).</w:t>
      </w:r>
    </w:p>
    <w:p w14:paraId="39B1279E" w14:textId="77777777" w:rsidR="006D0038" w:rsidRDefault="006D0038" w:rsidP="006D0038">
      <w:pPr>
        <w:tabs>
          <w:tab w:val="left" w:pos="426"/>
        </w:tabs>
        <w:ind w:firstLine="709"/>
        <w:jc w:val="both"/>
        <w:rPr>
          <w:rFonts w:ascii="Arial" w:hAnsi="Arial" w:cs="Arial"/>
          <w:lang w:val="id-ID"/>
        </w:rPr>
      </w:pPr>
      <w:r w:rsidRPr="006D0038">
        <w:rPr>
          <w:rFonts w:ascii="Arial" w:hAnsi="Arial" w:cs="Arial"/>
          <w:lang w:val="id-ID"/>
        </w:rPr>
        <w:lastRenderedPageBreak/>
        <w:t>Tujuan dari kajian ini adalah untuk mengkaji literatur secara sistematis mengenai berbagai pendekatan yang telah dilakukan dalam rangka integrasi hukum di Indonesia, mengidentifikasi keberhasilan yang telah dicapai, serta menganalisis hambatan-hambatan utama yang dihadapi. Kajian ini juga bermaksud memberikan telaah kritis terhadap dinamika integrasi hukum dalam konteks otonomi daerah dan demokratisasi hukum.</w:t>
      </w:r>
    </w:p>
    <w:p w14:paraId="38281C02" w14:textId="35813A95" w:rsidR="006D0038" w:rsidRPr="006D0038" w:rsidRDefault="006D0038" w:rsidP="006D0038">
      <w:pPr>
        <w:tabs>
          <w:tab w:val="left" w:pos="426"/>
        </w:tabs>
        <w:ind w:firstLine="709"/>
        <w:jc w:val="both"/>
        <w:rPr>
          <w:rFonts w:ascii="Arial" w:hAnsi="Arial" w:cs="Arial"/>
          <w:lang w:val="id-ID"/>
        </w:rPr>
      </w:pPr>
      <w:r w:rsidRPr="006D0038">
        <w:rPr>
          <w:rFonts w:ascii="Arial" w:hAnsi="Arial" w:cs="Arial"/>
          <w:lang w:val="id-ID"/>
        </w:rPr>
        <w:t>Signifikansi kajian ini tidak hanya bersifat akademik dalam memperkaya diskursus teori hukum tentang pluralisme dan integrasi, tetapi juga bersifat praktis dalam memberikan rekomendasi kebijakan hukum yang lebih kontekstual dan berkeadilan. Dengan demikian, kajian ini diharapkan dapat memberi kontribusi pada pembangunan sistem hukum nasional yang tidak hanya sah secara formal, tetapi juga legitimate secara sosial dan budaya (Rachmadsyah, 2022; Ma’ruf et al., 2023; Suryani &amp; Utomo, 2024).</w:t>
      </w:r>
    </w:p>
    <w:p w14:paraId="1FC5BB2C" w14:textId="3011DBC0" w:rsidR="00CE728A" w:rsidRDefault="002B2D50" w:rsidP="006D0038">
      <w:pPr>
        <w:numPr>
          <w:ilvl w:val="0"/>
          <w:numId w:val="15"/>
        </w:numPr>
        <w:tabs>
          <w:tab w:val="left" w:pos="426"/>
        </w:tabs>
        <w:spacing w:before="240" w:after="120"/>
        <w:ind w:left="284" w:hanging="284"/>
        <w:jc w:val="both"/>
        <w:rPr>
          <w:rFonts w:ascii="Arial" w:hAnsi="Arial" w:cs="Arial"/>
          <w:b/>
          <w:bCs/>
          <w:lang w:val="id-ID"/>
        </w:rPr>
      </w:pPr>
      <w:r>
        <w:rPr>
          <w:rFonts w:ascii="Arial" w:hAnsi="Arial" w:cs="Arial"/>
          <w:b/>
          <w:bCs/>
          <w:lang w:val="id-ID"/>
        </w:rPr>
        <w:t>METODE</w:t>
      </w:r>
    </w:p>
    <w:p w14:paraId="7E77A9E3" w14:textId="77777777" w:rsidR="006D0038" w:rsidRPr="006D0038" w:rsidRDefault="006D0038" w:rsidP="006D0038">
      <w:pPr>
        <w:tabs>
          <w:tab w:val="left" w:pos="284"/>
        </w:tabs>
        <w:jc w:val="both"/>
        <w:rPr>
          <w:rFonts w:ascii="Arial" w:hAnsi="Arial" w:cs="Arial"/>
          <w:lang w:val="id-ID"/>
        </w:rPr>
      </w:pPr>
      <w:r w:rsidRPr="006D0038">
        <w:rPr>
          <w:rFonts w:ascii="Arial" w:hAnsi="Arial" w:cs="Arial"/>
          <w:lang w:val="id-ID"/>
        </w:rPr>
        <w:t>Penelitian ini menggunakan pendekatan Systematic Literature Review (SLR) sebagai desain utama untuk mengkaji pendekatan, keberhasilan, dan tantangan dalam integrasi sistem hukum di Indonesia. SLR dipilih karena mampu menyediakan analisis yang terstruktur, transparan, dan dapat direplikasi terhadap literatur yang relevan, sehingga menghasilkan sintesis pengetahuan yang komprehensif dan mendalam (Riyanto &amp; Handayani, 2021). Kriteria inklusi dalam kajian ini mencakup artikel ilmiah yang diterbitkan dalam rentang waktu tahun 2000 hingga 2025, yang secara eksplisit membahas topik integrasi hukum dalam konteks Indonesia. Artikel yang dimasukkan dapat berasal dari berbagai disiplin hukum, selama membahas aspek integratif antara hukum adat, Islam, dan hukum nasional. Sebaliknya, artikel yang hanya menyoroti aspek hukum sektoral tanpa relevansi terhadap integrasi sistem hukum akan dikeluarkan dari analisis.</w:t>
      </w:r>
    </w:p>
    <w:p w14:paraId="14AB7C51" w14:textId="77777777" w:rsidR="006D0038" w:rsidRDefault="006D0038" w:rsidP="006D0038">
      <w:pPr>
        <w:tabs>
          <w:tab w:val="left" w:pos="284"/>
        </w:tabs>
        <w:ind w:firstLine="709"/>
        <w:jc w:val="both"/>
        <w:rPr>
          <w:rFonts w:ascii="Arial" w:hAnsi="Arial" w:cs="Arial"/>
          <w:lang w:val="id-ID"/>
        </w:rPr>
      </w:pPr>
      <w:r w:rsidRPr="006D0038">
        <w:rPr>
          <w:rFonts w:ascii="Arial" w:hAnsi="Arial" w:cs="Arial"/>
          <w:lang w:val="id-ID"/>
        </w:rPr>
        <w:t>Sumber data yang digunakan dalam penelitian ini meliputi berbagai basis data ilmiah seperti Google Scholar, Scopus, DOAJ, dan Garuda, guna memastikan cakupan data yang luas dan multidisipliner. Proses seleksi literatur dilakukan melalui empat tahapan utama yaitu: identifikasi, di mana seluruh dokumen yang relevan dikumpulkan; skrining, untuk menyaring dokumen berdasarkan judul dan abstrak; penilaian kelayakan (eligibility), dengan menelaah isi artikel secara mendalam; dan inklusi, yaitu tahap akhir seleksi artikel yang akan dianalisis lebih lanjut (Putri &amp; Santoso, 2022). Tahapan ini mengikuti kerangka PRISMA (Preferred Reporting Items for Systematic Reviews and Meta-Analyses) guna memastikan kualitas dan transparansi proses seleksi data (Amalia &amp; Kurniawan, 2023).</w:t>
      </w:r>
    </w:p>
    <w:p w14:paraId="4C9B7741" w14:textId="6AFD5B7B" w:rsidR="006D0038" w:rsidRPr="006D0038" w:rsidRDefault="006D0038" w:rsidP="006D0038">
      <w:pPr>
        <w:tabs>
          <w:tab w:val="left" w:pos="284"/>
        </w:tabs>
        <w:ind w:firstLine="709"/>
        <w:jc w:val="both"/>
        <w:rPr>
          <w:rFonts w:ascii="Arial" w:hAnsi="Arial" w:cs="Arial"/>
          <w:lang w:val="id-ID"/>
        </w:rPr>
      </w:pPr>
      <w:r w:rsidRPr="006D0038">
        <w:rPr>
          <w:rFonts w:ascii="Arial" w:hAnsi="Arial" w:cs="Arial"/>
          <w:lang w:val="id-ID"/>
        </w:rPr>
        <w:t>Untuk analisis data, penelitian ini menggunakan teknik coding tematik dan pendekatan naratif untuk mengelompokkan temuan dari berbagai studi ke dalam tema-tema utama seperti pendekatan integrasi hukum, bentuk keberhasilan, serta hambatan yang muncul. Pendekatan tematik memungkinkan peneliti menangkap pola-pola berulang dan mengembangkan interpretasi konseptual dari hasil studi terdahulu (Wulandari &amp; Hakim, 2021). Dengan metode ini, hasil kajian tidak hanya bersifat deskriptif tetapi juga analitis, memberikan kontribusi terhadap pengembangan teori hukum dan formulasi kebijakan integrasi hukum nasional di masa depan.</w:t>
      </w:r>
    </w:p>
    <w:p w14:paraId="6AA3F30A" w14:textId="6ADD7341" w:rsidR="00904D6D" w:rsidRPr="00D30DDF" w:rsidRDefault="002B2D50" w:rsidP="006D0038">
      <w:pPr>
        <w:pStyle w:val="ListParagraph"/>
        <w:numPr>
          <w:ilvl w:val="0"/>
          <w:numId w:val="15"/>
        </w:numPr>
        <w:tabs>
          <w:tab w:val="left" w:pos="284"/>
        </w:tabs>
        <w:spacing w:before="240" w:after="120"/>
        <w:ind w:left="284" w:hanging="284"/>
        <w:jc w:val="both"/>
        <w:rPr>
          <w:rFonts w:ascii="Arial" w:hAnsi="Arial" w:cs="Arial"/>
          <w:b/>
          <w:bCs/>
          <w:sz w:val="20"/>
          <w:szCs w:val="20"/>
          <w:lang w:val="id-ID"/>
        </w:rPr>
      </w:pPr>
      <w:r w:rsidRPr="00D30DDF">
        <w:rPr>
          <w:rFonts w:ascii="Arial" w:hAnsi="Arial" w:cs="Arial"/>
          <w:b/>
          <w:bCs/>
          <w:sz w:val="20"/>
          <w:szCs w:val="20"/>
          <w:lang w:val="id-ID"/>
        </w:rPr>
        <w:t>HASIL DAN PEMBAHASAN</w:t>
      </w:r>
    </w:p>
    <w:p w14:paraId="57A51E04" w14:textId="77777777" w:rsidR="006D0038" w:rsidRDefault="006D0038" w:rsidP="00D30DDF">
      <w:pPr>
        <w:tabs>
          <w:tab w:val="left" w:pos="284"/>
        </w:tabs>
        <w:jc w:val="both"/>
        <w:rPr>
          <w:rFonts w:ascii="Arial" w:hAnsi="Arial" w:cs="Arial"/>
          <w:b/>
          <w:bCs/>
          <w:lang w:val="id-ID"/>
        </w:rPr>
      </w:pPr>
      <w:r w:rsidRPr="006D0038">
        <w:rPr>
          <w:rFonts w:ascii="Arial" w:hAnsi="Arial" w:cs="Arial"/>
          <w:b/>
          <w:bCs/>
          <w:lang w:val="id-ID"/>
        </w:rPr>
        <w:t>Peran hukum adat dalam sistem hukum nasional</w:t>
      </w:r>
    </w:p>
    <w:p w14:paraId="2D26B0C7" w14:textId="77777777" w:rsidR="00BD11F4" w:rsidRPr="00BD11F4" w:rsidRDefault="00BD11F4" w:rsidP="00BD11F4">
      <w:pPr>
        <w:tabs>
          <w:tab w:val="left" w:pos="284"/>
        </w:tabs>
        <w:jc w:val="both"/>
        <w:rPr>
          <w:rFonts w:ascii="Arial" w:hAnsi="Arial" w:cs="Arial"/>
          <w:lang w:val="id-ID"/>
        </w:rPr>
      </w:pPr>
      <w:r w:rsidRPr="00BD11F4">
        <w:rPr>
          <w:rFonts w:ascii="Arial" w:hAnsi="Arial" w:cs="Arial"/>
          <w:lang w:val="id-ID"/>
        </w:rPr>
        <w:t>Salah satu temuan penting dalam sintesis literatur ini adalah pengakuan dan peran hukum adat dalam sistem hukum nasional Indonesia. Meskipun secara historis hukum adat pernah mengalami marginalisasi pada masa kolonial dan awal kemerdekaan, dalam beberapa dekade terakhir negara mulai memberikan ruang lebih besar bagi eksistensinya. Hal ini terlihat dari berbagai peraturan perundang-undangan yang mengakui eksistensi dan fungsi hukum adat dalam kerangka hukum nasional. Misalnya, Undang-Undang Nomor 6 Tahun 2014 tentang Desa secara eksplisit mengakui keberadaan desa adat atau desa hukum adat sebagai entitas yang memiliki kewenangan mengatur dan mengurus kepentingannya berdasarkan hak asal-usul dan nilai-nilai tradisional yang diakui masyarakat lokal. Selain itu, Undang-Undang Nomor 5 Tahun 1960 tentang Peraturan Dasar Pokok-Pokok Agraria (UUPA) juga membuka ruang bagi pengakuan hak ulayat masyarakat adat atas tanah, sepanjang keberadaannya diakui secara nyata oleh masyarakat dan tidak bertentangan dengan kepentingan nasional (Arifin &amp; Maulana, 2021).</w:t>
      </w:r>
    </w:p>
    <w:p w14:paraId="69081F2D" w14:textId="40587E89" w:rsidR="00D30DDF" w:rsidRDefault="00BD11F4" w:rsidP="00BD11F4">
      <w:pPr>
        <w:tabs>
          <w:tab w:val="left" w:pos="284"/>
        </w:tabs>
        <w:ind w:firstLine="709"/>
        <w:jc w:val="both"/>
        <w:rPr>
          <w:rFonts w:ascii="Arial" w:hAnsi="Arial" w:cs="Arial"/>
          <w:lang w:val="id-ID"/>
        </w:rPr>
      </w:pPr>
      <w:r w:rsidRPr="00BD11F4">
        <w:rPr>
          <w:rFonts w:ascii="Arial" w:hAnsi="Arial" w:cs="Arial"/>
          <w:lang w:val="id-ID"/>
        </w:rPr>
        <w:t xml:space="preserve">Namun, meskipun pengakuan secara yuridis semakin menguat, dalam praktiknya implementasi hukum adat masih menghadapi tantangan serius, seperti ketidaksinkronan kebijakan antara pusat dan daerah, lemahnya kapasitas kelembagaan masyarakat adat, serta tumpang tindih </w:t>
      </w:r>
      <w:r w:rsidRPr="00BD11F4">
        <w:rPr>
          <w:rFonts w:ascii="Arial" w:hAnsi="Arial" w:cs="Arial"/>
          <w:lang w:val="id-ID"/>
        </w:rPr>
        <w:lastRenderedPageBreak/>
        <w:t>dengan hukum negara dan kepentingan investasi (Susanti &amp; Hamzah, 2023). Beberapa studi juga mencatat bahwa keberadaan hukum adat cenderung diposisikan secara subordinatif dalam sistem hukum nasional, hanya diberlakukan secara selektif, dan seringkali tidak mendapatkan perlindungan yang cukup dalam konflik agraria atau sumber daya alam (Widodo &amp; Ramli, 2020). Meskipun demikian, semakin banyak pendekatan reformasi hukum yang mendorong integrasi hukum adat sebagai bentuk pluralisme hukum yang konstruktif dan kontekstual dengan realitas sosial Indonesia.</w:t>
      </w:r>
    </w:p>
    <w:p w14:paraId="4764DAC2" w14:textId="77777777" w:rsidR="00BD11F4" w:rsidRPr="00D30DDF" w:rsidRDefault="00BD11F4" w:rsidP="00BD11F4">
      <w:pPr>
        <w:tabs>
          <w:tab w:val="left" w:pos="284"/>
        </w:tabs>
        <w:ind w:firstLine="709"/>
        <w:jc w:val="both"/>
        <w:rPr>
          <w:rFonts w:ascii="Arial" w:hAnsi="Arial" w:cs="Arial"/>
          <w:lang w:val="id-ID"/>
        </w:rPr>
      </w:pPr>
    </w:p>
    <w:p w14:paraId="70829246" w14:textId="77777777" w:rsidR="00BD11F4" w:rsidRDefault="00BD11F4" w:rsidP="00BD11F4">
      <w:pPr>
        <w:tabs>
          <w:tab w:val="left" w:pos="284"/>
        </w:tabs>
        <w:jc w:val="both"/>
        <w:rPr>
          <w:rFonts w:ascii="Arial" w:hAnsi="Arial" w:cs="Arial"/>
          <w:b/>
          <w:bCs/>
          <w:lang w:val="id-ID"/>
        </w:rPr>
      </w:pPr>
      <w:r w:rsidRPr="00BD11F4">
        <w:rPr>
          <w:rFonts w:ascii="Arial" w:hAnsi="Arial" w:cs="Arial"/>
          <w:b/>
          <w:bCs/>
          <w:lang w:val="id-ID"/>
        </w:rPr>
        <w:t>Integrasi hukum Islam dalam sektor ekonomi dan keluarga</w:t>
      </w:r>
    </w:p>
    <w:p w14:paraId="3F88AC92" w14:textId="77777777" w:rsidR="00BD11F4" w:rsidRDefault="00BD11F4" w:rsidP="00BD11F4">
      <w:pPr>
        <w:tabs>
          <w:tab w:val="left" w:pos="284"/>
        </w:tabs>
        <w:jc w:val="both"/>
        <w:rPr>
          <w:rFonts w:ascii="Arial" w:hAnsi="Arial" w:cs="Arial"/>
          <w:b/>
          <w:bCs/>
          <w:lang w:val="id-ID"/>
        </w:rPr>
      </w:pPr>
      <w:r w:rsidRPr="00BD11F4">
        <w:rPr>
          <w:rFonts w:ascii="Arial" w:hAnsi="Arial" w:cs="Arial"/>
          <w:lang w:val="id-ID"/>
        </w:rPr>
        <w:t>Integrasi hukum Islam ke dalam sistem hukum nasional Indonesia paling menonjol terlihat dalam sektor ekonomi dan hukum keluarga. Dalam bidang ekonomi, pengembangan sistem ekonomi syariah telah menjadi kebijakan strategis nasional, tercermin dalam pembentukan berbagai regulasi dan institusi yang mendukung prinsip-prinsip muamalah Islam. Kehadiran Undang-Undang Nomor 21 Tahun 2008 tentang Perbankan Syariah, serta penguatan kelembagaan seperti Komite Nasional Keuangan Syariah (KNKS) menunjukkan bahwa hukum Islam telah diintegrasikan dalam kerangka hukum positif negara dan diakui sebagai pilar penting dalam pengembangan ekonomi nasional (Azizah &amp; Firmansyah, 2021). Selain itu, ekonomi syariah juga diakomodasi melalui regulasi tentang produk halal, zakat, wakaf, dan pasar modal syariah, yang semuanya mengindikasikan sinergi antara norma keislaman dengan sistem hukum negara.</w:t>
      </w:r>
    </w:p>
    <w:p w14:paraId="7BF5AD68" w14:textId="77777777" w:rsidR="00BD11F4" w:rsidRDefault="00BD11F4" w:rsidP="00BD11F4">
      <w:pPr>
        <w:tabs>
          <w:tab w:val="left" w:pos="284"/>
        </w:tabs>
        <w:ind w:firstLine="709"/>
        <w:jc w:val="both"/>
        <w:rPr>
          <w:rFonts w:ascii="Arial" w:hAnsi="Arial" w:cs="Arial"/>
          <w:b/>
          <w:bCs/>
          <w:lang w:val="id-ID"/>
        </w:rPr>
      </w:pPr>
      <w:r w:rsidRPr="00BD11F4">
        <w:rPr>
          <w:rFonts w:ascii="Arial" w:hAnsi="Arial" w:cs="Arial"/>
          <w:lang w:val="id-ID"/>
        </w:rPr>
        <w:t>Sementara itu, dalam sektor hukum keluarga, integrasi hukum Islam sangat kuat melalui kewenangan Peradilan Agama, yang diatur dalam Undang-Undang Nomor 3 Tahun 2006 sebagai perubahan dari Undang-Undang Nomor 7 Tahun 1989. Peradilan Agama diberi otoritas menangani perkara-perkara seperti pernikahan, warisan, hibah, wakaf, dan ekonomi syariah bagi umat Islam. Dalam praktiknya, hukum Islam telah menjadi dasar normatif dalam pengaturan pernikahan, perceraian, dan hak-hak keluarga Muslim, sebagaimana diatur dalam Kompilasi Hukum Islam (KHI). Meskipun KHI bukan produk legislasi formal, ia telah menjadi rujukan yuridis utama dalam penyelesaian sengketa keluarga Muslim di pengadilan (Maulida &amp; Syahrin, 2022).</w:t>
      </w:r>
    </w:p>
    <w:p w14:paraId="7E141B98" w14:textId="2412AFF9" w:rsidR="00BD11F4" w:rsidRDefault="00BD11F4" w:rsidP="00BD11F4">
      <w:pPr>
        <w:tabs>
          <w:tab w:val="left" w:pos="284"/>
        </w:tabs>
        <w:ind w:firstLine="709"/>
        <w:jc w:val="both"/>
        <w:rPr>
          <w:rFonts w:ascii="Arial" w:hAnsi="Arial" w:cs="Arial"/>
          <w:lang w:val="id-ID"/>
        </w:rPr>
      </w:pPr>
      <w:r w:rsidRPr="00BD11F4">
        <w:rPr>
          <w:rFonts w:ascii="Arial" w:hAnsi="Arial" w:cs="Arial"/>
          <w:lang w:val="id-ID"/>
        </w:rPr>
        <w:t>Namun demikian, integrasi hukum Islam tidak lepas dari tantangan. Salah satunya adalah ketegangan antara prinsip-prinsip hukum Islam dan nilai-nilai hak asasi manusia universal, terutama dalam isu poligami, pembagian waris, dan peran gender dalam rumah tangga. Selain itu, perbedaan penafsiran antarmazhab juga memengaruhi konsistensi penerapan hukum Islam di tingkat yudisial (Rohman &amp; Nursyahbani, 2023). Meskipun demikian, keberadaan hukum Islam dalam sektor ekonomi dan keluarga telah membuktikan bahwa integrasi dapat berjalan dinamis selama ada mekanisme harmonisasi dan penghormatan terhadap pluralitas dalam masyarakat hukum Indonesia.</w:t>
      </w:r>
    </w:p>
    <w:p w14:paraId="01F7E774" w14:textId="77777777" w:rsidR="00BD11F4" w:rsidRDefault="00BD11F4" w:rsidP="00BD11F4">
      <w:pPr>
        <w:tabs>
          <w:tab w:val="left" w:pos="284"/>
        </w:tabs>
        <w:jc w:val="both"/>
        <w:rPr>
          <w:rFonts w:ascii="Arial" w:hAnsi="Arial" w:cs="Arial"/>
          <w:lang w:val="id-ID"/>
        </w:rPr>
      </w:pPr>
    </w:p>
    <w:p w14:paraId="55BBA671" w14:textId="18AA4B6E" w:rsidR="00BD11F4" w:rsidRDefault="00BD11F4" w:rsidP="00BD11F4">
      <w:pPr>
        <w:tabs>
          <w:tab w:val="left" w:pos="284"/>
        </w:tabs>
        <w:jc w:val="both"/>
        <w:rPr>
          <w:rFonts w:ascii="Arial" w:hAnsi="Arial" w:cs="Arial"/>
          <w:b/>
          <w:bCs/>
          <w:lang w:val="id-ID"/>
        </w:rPr>
      </w:pPr>
      <w:r w:rsidRPr="00BD11F4">
        <w:rPr>
          <w:rFonts w:ascii="Arial" w:hAnsi="Arial" w:cs="Arial"/>
          <w:b/>
          <w:bCs/>
          <w:lang w:val="id-ID"/>
        </w:rPr>
        <w:t>Reformasi hukum nasional pasca-reformasi</w:t>
      </w:r>
    </w:p>
    <w:p w14:paraId="1D3CBCC0" w14:textId="77777777" w:rsidR="00BD11F4" w:rsidRPr="00BD11F4" w:rsidRDefault="00BD11F4" w:rsidP="00BD11F4">
      <w:pPr>
        <w:tabs>
          <w:tab w:val="left" w:pos="284"/>
        </w:tabs>
        <w:jc w:val="both"/>
        <w:rPr>
          <w:rFonts w:ascii="Arial" w:hAnsi="Arial" w:cs="Arial"/>
          <w:lang w:val="id-ID"/>
        </w:rPr>
      </w:pPr>
      <w:r w:rsidRPr="00BD11F4">
        <w:rPr>
          <w:rFonts w:ascii="Arial" w:hAnsi="Arial" w:cs="Arial"/>
          <w:lang w:val="id-ID"/>
        </w:rPr>
        <w:t>Pasca-reformasi 1998, Indonesia memasuki era baru dalam pembangunan hukum nasional yang ditandai oleh upaya sistematis untuk mereformasi sistem hukum warisan kolonial. Salah satu tonggak penting dalam reformasi ini adalah kodifikasi Kitab Undang-Undang Hukum Pidana (KUHP) nasional, yang berhasil disahkan pada akhir tahun 2022 melalui Undang-Undang Nomor 1 Tahun 2023. Kodifikasi ini menggantikan KUHP lama yang merupakan produk kolonial Belanda (Wetboek van Strafrecht) dan telah lama dinilai tidak lagi relevan dengan konteks sosial, budaya, dan politik Indonesia saat ini (Saragih &amp; Maulana, 2023). KUHP baru ini mencerminkan semangat pembaruan hukum nasional dengan memasukkan nilai-nilai Pancasila, prinsip keadilan restoratif, serta pengakuan terhadap keberagaman norma lokal, termasuk aspek hukum adat dan agama yang hidup di masyarakat.</w:t>
      </w:r>
    </w:p>
    <w:p w14:paraId="0A928CDA" w14:textId="77777777" w:rsidR="00BD11F4" w:rsidRDefault="00BD11F4" w:rsidP="00BD11F4">
      <w:pPr>
        <w:tabs>
          <w:tab w:val="left" w:pos="284"/>
        </w:tabs>
        <w:ind w:firstLine="709"/>
        <w:jc w:val="both"/>
        <w:rPr>
          <w:rFonts w:ascii="Arial" w:hAnsi="Arial" w:cs="Arial"/>
          <w:lang w:val="id-ID"/>
        </w:rPr>
      </w:pPr>
      <w:r w:rsidRPr="00BD11F4">
        <w:rPr>
          <w:rFonts w:ascii="Arial" w:hAnsi="Arial" w:cs="Arial"/>
          <w:lang w:val="id-ID"/>
        </w:rPr>
        <w:t>Selain kodifikasi KUHP, reformasi hukum juga mencakup upaya pembaruan peraturan perundang-undangan secara lebih luas. Ini terlihat dari revisi berbagai undang-undang strategis seperti Undang-Undang Mahkamah Konstitusi, Undang-Undang Pembentukan Peraturan Perundang-undangan (UU PPP), serta penguatan kelembagaan melalui pembentukan badan-badan hukum seperti BPHN (Badan Pembinaan Hukum Nasional) dan Komisi Yudisial. Reformasi ini bertujuan untuk menciptakan sistem hukum yang lebih demokratis, transparan, dan adaptif terhadap perkembangan global dan kebutuhan masyarakat. Namun demikian, proses reformasi tidak selalu berjalan mulus. Beberapa produk legislasi pascareformasi, termasuk KUHP baru, menuai kritik dari masyarakat sipil dan akademisi karena dianggap masih memuat pasal-pasal multitafsir dan berpotensi mengekang kebebasan sipil (Wibowo &amp; Prasetyo, 2023).</w:t>
      </w:r>
    </w:p>
    <w:p w14:paraId="551ED7DC" w14:textId="1324EC86" w:rsidR="00BD11F4" w:rsidRDefault="00BD11F4" w:rsidP="00BD11F4">
      <w:pPr>
        <w:tabs>
          <w:tab w:val="left" w:pos="284"/>
        </w:tabs>
        <w:ind w:firstLine="709"/>
        <w:jc w:val="both"/>
        <w:rPr>
          <w:rFonts w:ascii="Arial" w:hAnsi="Arial" w:cs="Arial"/>
          <w:lang w:val="id-ID"/>
        </w:rPr>
      </w:pPr>
      <w:r w:rsidRPr="00BD11F4">
        <w:rPr>
          <w:rFonts w:ascii="Arial" w:hAnsi="Arial" w:cs="Arial"/>
          <w:lang w:val="id-ID"/>
        </w:rPr>
        <w:t xml:space="preserve">Meskipun menghadapi tantangan, reformasi hukum nasional menunjukkan komitmen negara untuk membangun sistem hukum yang berdaulat, modern, dan mencerminkan identitas </w:t>
      </w:r>
      <w:r w:rsidRPr="00BD11F4">
        <w:rPr>
          <w:rFonts w:ascii="Arial" w:hAnsi="Arial" w:cs="Arial"/>
          <w:lang w:val="id-ID"/>
        </w:rPr>
        <w:lastRenderedPageBreak/>
        <w:t>nasional. Proses ini juga menjadi bagian dari strategi jangka panjang untuk mengintegrasikan berbagai sistem hukum yang hidup di Indonesia dalam kerangka hukum nasional yang utuh dan legitimatif (Yuliani &amp; Hasan, 2021).</w:t>
      </w:r>
    </w:p>
    <w:p w14:paraId="0EFFE229" w14:textId="77777777" w:rsidR="00BD11F4" w:rsidRDefault="00BD11F4" w:rsidP="00BD11F4">
      <w:pPr>
        <w:tabs>
          <w:tab w:val="left" w:pos="284"/>
        </w:tabs>
        <w:jc w:val="both"/>
        <w:rPr>
          <w:rFonts w:ascii="Arial" w:hAnsi="Arial" w:cs="Arial"/>
          <w:lang w:val="id-ID"/>
        </w:rPr>
      </w:pPr>
    </w:p>
    <w:p w14:paraId="0DB18212" w14:textId="1934ABD4" w:rsidR="00BD11F4" w:rsidRDefault="00BD11F4" w:rsidP="00BD11F4">
      <w:pPr>
        <w:tabs>
          <w:tab w:val="left" w:pos="284"/>
        </w:tabs>
        <w:jc w:val="both"/>
        <w:rPr>
          <w:rFonts w:ascii="Arial" w:hAnsi="Arial" w:cs="Arial"/>
          <w:b/>
          <w:bCs/>
          <w:lang w:val="id-ID"/>
        </w:rPr>
      </w:pPr>
      <w:r w:rsidRPr="00BD11F4">
        <w:rPr>
          <w:rFonts w:ascii="Arial" w:hAnsi="Arial" w:cs="Arial"/>
          <w:b/>
          <w:bCs/>
          <w:lang w:val="id-ID"/>
        </w:rPr>
        <w:t>Tantangan integrasi hukum</w:t>
      </w:r>
    </w:p>
    <w:p w14:paraId="60B05CA8" w14:textId="77777777" w:rsidR="00BD11F4" w:rsidRPr="00BD11F4" w:rsidRDefault="00BD11F4" w:rsidP="00BD11F4">
      <w:pPr>
        <w:tabs>
          <w:tab w:val="left" w:pos="284"/>
        </w:tabs>
        <w:jc w:val="both"/>
        <w:rPr>
          <w:rFonts w:ascii="Arial" w:hAnsi="Arial" w:cs="Arial"/>
          <w:lang w:val="id-ID"/>
        </w:rPr>
      </w:pPr>
      <w:r w:rsidRPr="00BD11F4">
        <w:rPr>
          <w:rFonts w:ascii="Arial" w:hAnsi="Arial" w:cs="Arial"/>
          <w:lang w:val="id-ID"/>
        </w:rPr>
        <w:t>Integrasi hukum di Indonesia menghadapi berbagai tantangan serius yang menghambat terwujudnya sistem hukum nasional yang utuh dan harmonis. Salah satu tantangan utama adalah tumpang tindih norma hukum antara hukum nasional, hukum adat, dan hukum Islam. Kondisi ini terjadi karena kurangnya sinkronisasi dalam proses legislasi serta tidak adanya peta hukum yang secara jelas mengatur relasi antar-sistem hukum tersebut. Misalnya, dalam sektor agraria, konflik antara hak ulayat masyarakat adat dan izin konsesi dari negara seringkali tidak terselesaikan secara adil akibat ketiadaan kerangka integratif yang memadai (Fauzan &amp; Ridwan, 2021). Konflik yurisdiksi juga menjadi persoalan mendasar, terutama antara peradilan umum, peradilan agama, dan penyelesaian sengketa adat. Kewenangan yang tumpang tindih ini tidak hanya membingungkan masyarakat pencari keadilan, tetapi juga menimbulkan dualisme hukum dalam praktik (Kusuma &amp; Marwan, 2022).</w:t>
      </w:r>
    </w:p>
    <w:p w14:paraId="58233240" w14:textId="68DF77E3" w:rsidR="00BD11F4" w:rsidRPr="00BD11F4" w:rsidRDefault="00BD11F4" w:rsidP="00BD11F4">
      <w:pPr>
        <w:tabs>
          <w:tab w:val="left" w:pos="284"/>
        </w:tabs>
        <w:ind w:firstLine="709"/>
        <w:jc w:val="both"/>
        <w:rPr>
          <w:rFonts w:ascii="Arial" w:hAnsi="Arial" w:cs="Arial"/>
          <w:lang w:val="id-ID"/>
        </w:rPr>
      </w:pPr>
      <w:r w:rsidRPr="00BD11F4">
        <w:rPr>
          <w:rFonts w:ascii="Arial" w:hAnsi="Arial" w:cs="Arial"/>
          <w:lang w:val="id-ID"/>
        </w:rPr>
        <w:t>Selain itu, resistensi lokal menjadi tantangan yang tidak bisa diabaikan dalam upaya integrasi hukum. Di berbagai daerah, terutama yang memiliki kearifan lokal yang kuat, masyarakat menunjukkan penolakan terhadap regulasi nasional yang dianggap bertentangan dengan nilai-nilai adat atau norma keagamaan setempat. Hal ini misalnya terlihat dalam penolakan beberapa komunitas adat terhadap proyek nasional yang mengabaikan prosedur hukum adat dalam pengelolaan tanah dan sumber daya alam (Nuraini &amp; Hakim, 2020). Resistensi ini mencerminkan adanya ketegangan antara pendekatan hukum negara yang bersifat sentralistik dengan realitas sosial yang bersifat plural dan desentralistik. Oleh karena itu, integrasi hukum menuntut pendekatan yang inklusif dan kontekstual agar tidak hanya menekankan pada aspek legal-formal, tetapi juga mengakomodasi keragaman hukum yang hidup dalam masyarakat.</w:t>
      </w:r>
    </w:p>
    <w:p w14:paraId="44199A1A" w14:textId="77777777" w:rsidR="00BD11F4" w:rsidRPr="00BD11F4" w:rsidRDefault="00D30DDF" w:rsidP="00BD11F4">
      <w:pPr>
        <w:pStyle w:val="ListParagraph"/>
        <w:numPr>
          <w:ilvl w:val="0"/>
          <w:numId w:val="15"/>
        </w:numPr>
        <w:tabs>
          <w:tab w:val="left" w:pos="284"/>
        </w:tabs>
        <w:spacing w:before="240" w:after="120"/>
        <w:ind w:left="284" w:hanging="284"/>
        <w:jc w:val="both"/>
        <w:rPr>
          <w:rFonts w:ascii="Arial" w:hAnsi="Arial" w:cs="Arial"/>
          <w:b/>
          <w:bCs/>
          <w:lang w:val="id-ID"/>
        </w:rPr>
      </w:pPr>
      <w:r w:rsidRPr="00D30DDF">
        <w:rPr>
          <w:rFonts w:ascii="Arial" w:hAnsi="Arial" w:cs="Arial"/>
          <w:b/>
          <w:bCs/>
          <w:sz w:val="20"/>
          <w:szCs w:val="20"/>
          <w:lang w:val="id-ID"/>
        </w:rPr>
        <w:t>PEMBAHASAN</w:t>
      </w:r>
    </w:p>
    <w:p w14:paraId="4C7A69BE" w14:textId="77777777" w:rsidR="00BD11F4" w:rsidRDefault="00BD11F4" w:rsidP="00BD11F4">
      <w:pPr>
        <w:tabs>
          <w:tab w:val="left" w:pos="284"/>
        </w:tabs>
        <w:jc w:val="both"/>
        <w:rPr>
          <w:rFonts w:ascii="Arial" w:hAnsi="Arial" w:cs="Arial"/>
          <w:b/>
          <w:bCs/>
          <w:lang w:val="id-ID"/>
        </w:rPr>
      </w:pPr>
      <w:r w:rsidRPr="00BD11F4">
        <w:rPr>
          <w:rFonts w:ascii="Arial" w:hAnsi="Arial" w:cs="Arial"/>
          <w:lang w:val="id-ID"/>
        </w:rPr>
        <w:t>Proses integrasi hukum di Indonesia menunjukkan sejumlah kekuatan, antara lain adanya pengakuan formal terhadap pluralisme hukum dalam berbagai peraturan perundang-undangan, seperti pengakuan hukum adat dalam UU Desa dan penguatan peran hukum Islam melalui peradilan agama serta sistem ekonomi syariah. Upaya kodifikasi hukum nasional, seperti pengesahan KUHP baru, juga mencerminkan kemauan politik untuk menyatukan berbagai sumber hukum ke dalam satu sistem yang kohesif (Yuliani &amp; Hasan, 2021). Namun, di sisi lain, proses ini juga memiliki kelemahan struktural, seperti pendekatan top-down dalam legislasi, tumpang tindih kewenangan antarlembaga hukum, dan minimnya pelibatan masyarakat adat serta kelompok keagamaan dalam proses perumusan hukum. Selain itu, praktik integrasi hukum kerap tidak sensitif terhadap dinamika lokal, sehingga rentan menimbulkan resistensi atau ketidakpatuhan hukum di tingkat akar rumput (Saragih &amp; Maulana, 2023).</w:t>
      </w:r>
    </w:p>
    <w:p w14:paraId="2893730A" w14:textId="77777777" w:rsidR="00BD11F4" w:rsidRDefault="00BD11F4" w:rsidP="00BD11F4">
      <w:pPr>
        <w:tabs>
          <w:tab w:val="left" w:pos="284"/>
        </w:tabs>
        <w:ind w:firstLine="709"/>
        <w:jc w:val="both"/>
        <w:rPr>
          <w:rFonts w:ascii="Arial" w:hAnsi="Arial" w:cs="Arial"/>
          <w:b/>
          <w:bCs/>
          <w:lang w:val="id-ID"/>
        </w:rPr>
      </w:pPr>
      <w:r w:rsidRPr="00BD11F4">
        <w:rPr>
          <w:rFonts w:ascii="Arial" w:hAnsi="Arial" w:cs="Arial"/>
          <w:lang w:val="id-ID" w:eastAsia="en-GB"/>
        </w:rPr>
        <w:t>Jika dibandingkan dengan praktik di negara multikultural lainnya, seperti Malaysia dan Afrika Selatan, Indonesia masih menghadapi tantangan dalam menciptakan mekanisme institusional yang efektif untuk menjembatani hukum negara dan hukum komunitas. Di Malaysia, misalnya, sistem dualisme hukum antara Syariah dan common law ditopang oleh pembagian yurisdiksi yang jelas dan penguatan institusi Syariah di tingkat negara bagian (Zakaria &amp; Ibrahim, 2020). Sementara itu, Afrika Selatan menerapkan model rekognisi hukum adat dalam kerangka konstitusional yang progresif, yang memberikan ruang bagi hukum adat untuk berfungsi sepanjang tidak bertentangan dengan prinsip-prinsip hak asasi manusia (Mokgoro, 2021). Pembelajaran dari kedua negara ini menunjukkan pentingnya desain kelembagaan dan pendekatan partisipatif dalam mengelola pluralitas hukum.</w:t>
      </w:r>
    </w:p>
    <w:p w14:paraId="5571347E" w14:textId="77777777" w:rsidR="00BD11F4" w:rsidRDefault="00BD11F4" w:rsidP="00BD11F4">
      <w:pPr>
        <w:tabs>
          <w:tab w:val="left" w:pos="284"/>
        </w:tabs>
        <w:ind w:firstLine="709"/>
        <w:jc w:val="both"/>
        <w:rPr>
          <w:rFonts w:ascii="Arial" w:hAnsi="Arial" w:cs="Arial"/>
          <w:b/>
          <w:bCs/>
          <w:lang w:val="id-ID"/>
        </w:rPr>
      </w:pPr>
      <w:r w:rsidRPr="00BD11F4">
        <w:rPr>
          <w:rFonts w:ascii="Arial" w:hAnsi="Arial" w:cs="Arial"/>
          <w:lang w:val="id-ID" w:eastAsia="en-GB"/>
        </w:rPr>
        <w:t>Namun demikian, kesenjangan dalam literatur masih cukup signifikan, terutama terkait minimnya kajian empirik di tingkat lokal yang mendokumentasikan praktik integrasi hukum secara nyata dalam berbagai konteks sosial dan geografis Indonesia. Banyak studi masih bersifat normatif-konseptual dan belum menggali interaksi antarhukum di lapangan, seperti bagaimana aparat desa, tokoh adat, atau hakim peradilan agama mengelola konflik norma dalam kehidupan sehari-hari (Susanti &amp; Hamzah, 2023). Kekosongan ini menyulitkan evaluasi kebijakan dan pengembangan model integrasi hukum yang responsif terhadap kondisi lokal.</w:t>
      </w:r>
    </w:p>
    <w:p w14:paraId="5B910925" w14:textId="78F7CC9A" w:rsidR="00BD11F4" w:rsidRPr="00BD11F4" w:rsidRDefault="00BD11F4" w:rsidP="00BD11F4">
      <w:pPr>
        <w:tabs>
          <w:tab w:val="left" w:pos="284"/>
        </w:tabs>
        <w:ind w:firstLine="709"/>
        <w:jc w:val="both"/>
        <w:rPr>
          <w:rFonts w:ascii="Arial" w:hAnsi="Arial" w:cs="Arial"/>
          <w:b/>
          <w:bCs/>
          <w:lang w:val="id-ID"/>
        </w:rPr>
      </w:pPr>
      <w:r w:rsidRPr="00BD11F4">
        <w:rPr>
          <w:rFonts w:ascii="Arial" w:hAnsi="Arial" w:cs="Arial"/>
          <w:lang w:val="id-ID" w:eastAsia="en-GB"/>
        </w:rPr>
        <w:lastRenderedPageBreak/>
        <w:t>Berdasarkan temuan-temuan tersebut, terdapat implikasi penting bagi pembuat kebijakan, yaitu perlunya pendekatan yang lebih inklusif dalam penyusunan hukum nasional. Pengakuan terhadap hukum adat dan hukum Islam tidak cukup berhenti pada aspek simbolik atau normatif, tetapi harus diikuti dengan mekanisme implementasi, pelibatan komunitas hukum lokal dalam legislasi, serta penguatan kapasitas kelembagaan yang menjalankan hukum tersebut. Dengan demikian, integrasi hukum tidak hanya menjadi proyek hukum negara, tetapi juga proyek kolektif yang menghargai pluralitas identitas hukum masyarakat Indonesia (Azizah &amp; Firmansyah, 2021).</w:t>
      </w:r>
    </w:p>
    <w:p w14:paraId="28B96DED" w14:textId="5A5720C5" w:rsidR="00904D6D" w:rsidRPr="00426027" w:rsidRDefault="00E1513C" w:rsidP="00BD11F4">
      <w:pPr>
        <w:numPr>
          <w:ilvl w:val="0"/>
          <w:numId w:val="15"/>
        </w:numPr>
        <w:tabs>
          <w:tab w:val="left" w:pos="284"/>
        </w:tabs>
        <w:spacing w:before="240" w:after="120"/>
        <w:ind w:left="284" w:hanging="284"/>
        <w:jc w:val="both"/>
        <w:rPr>
          <w:rFonts w:ascii="Arial" w:hAnsi="Arial" w:cs="Arial"/>
          <w:b/>
          <w:bCs/>
          <w:lang w:val="id-ID"/>
        </w:rPr>
      </w:pPr>
      <w:r>
        <w:rPr>
          <w:rFonts w:ascii="Arial" w:hAnsi="Arial" w:cs="Arial"/>
          <w:b/>
          <w:bCs/>
          <w:lang w:val="id-ID"/>
        </w:rPr>
        <w:t xml:space="preserve"> </w:t>
      </w:r>
      <w:r w:rsidR="002B2D50">
        <w:rPr>
          <w:rFonts w:ascii="Arial" w:hAnsi="Arial" w:cs="Arial"/>
          <w:b/>
          <w:bCs/>
          <w:lang w:val="id-ID"/>
        </w:rPr>
        <w:t>KESIMPULAN</w:t>
      </w:r>
    </w:p>
    <w:p w14:paraId="0D37761A" w14:textId="7B42333F" w:rsidR="00BD11F4" w:rsidRDefault="00BD11F4" w:rsidP="00BD11F4">
      <w:pPr>
        <w:jc w:val="both"/>
        <w:rPr>
          <w:rFonts w:ascii="Arial" w:hAnsi="Arial" w:cs="Arial"/>
          <w:lang w:val="id-ID"/>
        </w:rPr>
      </w:pPr>
      <w:r w:rsidRPr="00BD11F4">
        <w:rPr>
          <w:rFonts w:ascii="Arial" w:hAnsi="Arial" w:cs="Arial"/>
          <w:lang w:val="id-ID"/>
        </w:rPr>
        <w:t>Hasil kajian menunjukkan bahwa proses integrasi hukum di Indonesia telah mengalami perkembangan signifikan, terutama sejak era reformasi, ditandai dengan pengakuan formal terhadap pluralisme hukum dalam regulasi nasional, kodifikasi hukum pidana nasional, serta integrasi hukum Islam dalam bidang ekonomi dan keluarga. Namun demikian, integrasi ini juga menghadapi tantangan yang kompleks, seperti tumpang tindih norma, konflik yurisdiksi antarlembaga, dan resistensi masyarakat terhadap regulasi yang dianggap tidak selaras dengan nilai lokal. Kompleksitas ini memperlihatkan bahwa integrasi hukum tidak sekadar persoalan teknis atau yuridis, tetapi juga menyangkut dinamika sosial, budaya, dan politik yang perlu ditangani secara komprehensif dan sensitif terhadap keragaman.</w:t>
      </w:r>
      <w:r>
        <w:rPr>
          <w:rFonts w:ascii="Arial" w:hAnsi="Arial" w:cs="Arial"/>
          <w:lang w:val="id-ID"/>
        </w:rPr>
        <w:t xml:space="preserve"> </w:t>
      </w:r>
      <w:r w:rsidRPr="00BD11F4">
        <w:rPr>
          <w:rFonts w:ascii="Arial" w:hAnsi="Arial" w:cs="Arial"/>
          <w:lang w:val="id-ID"/>
        </w:rPr>
        <w:t>Kontribusi utama kajian ini terletak pada penyusunan peta konseptual integrasi hukum di Indonesia, dengan menyoroti keterkaitan antara teori pluralisme hukum, harmonisasi hukum, dan pembangunan hukum dalam konteks negara multikultural. Kajian ini memperlihatkan bagaimana interaksi antara hukum negara, hukum adat, dan hukum Islam berlangsung dalam berbagai bidang kehidupan, serta bagaimana pendekatan integratif masih membutuhkan penguatan baik dalam aspek normatif maupun praksis. Selain itu, melalui analisis literatur terkini dan perbandingan dengan praktik di negara lain, kajian ini memberikan dasar teoretis untuk memahami arah dan tantangan reformasi hukum nasional ke depan.</w:t>
      </w:r>
      <w:r>
        <w:rPr>
          <w:rFonts w:ascii="Arial" w:hAnsi="Arial" w:cs="Arial"/>
          <w:lang w:val="id-ID"/>
        </w:rPr>
        <w:t xml:space="preserve"> </w:t>
      </w:r>
      <w:r w:rsidRPr="00BD11F4">
        <w:rPr>
          <w:rFonts w:ascii="Arial" w:hAnsi="Arial" w:cs="Arial"/>
          <w:lang w:val="id-ID"/>
        </w:rPr>
        <w:t>Berdasarkan temuan tersebut, kajian merekomendasikan perlunya pendekatan interdisipliner dan partisipatif dalam reformasi hukum, yang tidak hanya melibatkan ahli hukum, tetapi juga antropolog, sosiolog, dan aktor-aktor lokal. Reformasi hukum harus dilakukan melalui dialog yang setara dengan komunitas adat dan keagamaan untuk menghasilkan norma hukum yang legitimate dan kontekstual. Selain itu, penting untuk mengembangkan pendidikan hukum yang bersifat multikultural, agar calon-calon praktisi dan pembuat kebijakan hukum memiliki perspektif yang inklusif terhadap keragaman sistem hukum di Indonesia. Kajian ini juga mendorong adanya penelitian lanjutan yang bersifat empirik, khususnya di tingkat lokal, guna memahami secara lebih konkret bagaimana integrasi hukum berlangsung dalam praktik, termasuk dinamika implementasi hukum adat dan hukum Islam di daerah.</w:t>
      </w:r>
    </w:p>
    <w:p w14:paraId="4A5C1F77" w14:textId="1072551A" w:rsidR="00C35B8F" w:rsidRPr="00C16300" w:rsidRDefault="002B2D50" w:rsidP="00BD11F4">
      <w:pPr>
        <w:spacing w:before="240" w:after="120"/>
        <w:jc w:val="both"/>
        <w:rPr>
          <w:rFonts w:ascii="Arial" w:hAnsi="Arial" w:cs="Arial"/>
          <w:lang w:val="id-ID"/>
        </w:rPr>
      </w:pPr>
      <w:r>
        <w:rPr>
          <w:rStyle w:val="apple-style-span"/>
          <w:rFonts w:ascii="Arial" w:hAnsi="Arial" w:cs="Arial"/>
          <w:b/>
          <w:color w:val="000000"/>
          <w:lang w:val="pt-BR"/>
        </w:rPr>
        <w:t>DAFTAR PUSTAKA</w:t>
      </w:r>
    </w:p>
    <w:p w14:paraId="4F96B210"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Amalia, R. &amp; Kurniawan, B. (2023). </w:t>
      </w:r>
      <w:proofErr w:type="spellStart"/>
      <w:r w:rsidRPr="00BD11F4">
        <w:rPr>
          <w:rFonts w:ascii="Arial" w:hAnsi="Arial" w:cs="Arial"/>
          <w:color w:val="000000"/>
        </w:rPr>
        <w:t>Penerapan</w:t>
      </w:r>
      <w:proofErr w:type="spellEnd"/>
      <w:r w:rsidRPr="00BD11F4">
        <w:rPr>
          <w:rFonts w:ascii="Arial" w:hAnsi="Arial" w:cs="Arial"/>
          <w:color w:val="000000"/>
        </w:rPr>
        <w:t xml:space="preserve"> PRISMA </w:t>
      </w:r>
      <w:proofErr w:type="spellStart"/>
      <w:r w:rsidRPr="00BD11F4">
        <w:rPr>
          <w:rFonts w:ascii="Arial" w:hAnsi="Arial" w:cs="Arial"/>
          <w:color w:val="000000"/>
        </w:rPr>
        <w:t>dalam</w:t>
      </w:r>
      <w:proofErr w:type="spellEnd"/>
      <w:r w:rsidRPr="00BD11F4">
        <w:rPr>
          <w:rFonts w:ascii="Arial" w:hAnsi="Arial" w:cs="Arial"/>
          <w:color w:val="000000"/>
        </w:rPr>
        <w:t xml:space="preserve"> Review </w:t>
      </w:r>
      <w:proofErr w:type="spellStart"/>
      <w:r w:rsidRPr="00BD11F4">
        <w:rPr>
          <w:rFonts w:ascii="Arial" w:hAnsi="Arial" w:cs="Arial"/>
          <w:color w:val="000000"/>
        </w:rPr>
        <w:t>Sistematis</w:t>
      </w:r>
      <w:proofErr w:type="spellEnd"/>
      <w:r w:rsidRPr="00BD11F4">
        <w:rPr>
          <w:rFonts w:ascii="Arial" w:hAnsi="Arial" w:cs="Arial"/>
          <w:color w:val="000000"/>
        </w:rPr>
        <w:t xml:space="preserve"> </w:t>
      </w:r>
      <w:proofErr w:type="spellStart"/>
      <w:r w:rsidRPr="00BD11F4">
        <w:rPr>
          <w:rFonts w:ascii="Arial" w:hAnsi="Arial" w:cs="Arial"/>
          <w:color w:val="000000"/>
        </w:rPr>
        <w:t>Bidang</w:t>
      </w:r>
      <w:proofErr w:type="spellEnd"/>
      <w:r w:rsidRPr="00BD11F4">
        <w:rPr>
          <w:rFonts w:ascii="Arial" w:hAnsi="Arial" w:cs="Arial"/>
          <w:color w:val="000000"/>
        </w:rPr>
        <w:t xml:space="preserve"> Hukum di Indonesia. </w:t>
      </w:r>
      <w:proofErr w:type="spellStart"/>
      <w:r w:rsidRPr="00BD11F4">
        <w:rPr>
          <w:rFonts w:ascii="Arial" w:hAnsi="Arial" w:cs="Arial"/>
          <w:color w:val="000000"/>
        </w:rPr>
        <w:t>Jurnal</w:t>
      </w:r>
      <w:proofErr w:type="spellEnd"/>
      <w:r w:rsidRPr="00BD11F4">
        <w:rPr>
          <w:rFonts w:ascii="Arial" w:hAnsi="Arial" w:cs="Arial"/>
          <w:color w:val="000000"/>
        </w:rPr>
        <w:t xml:space="preserve"> Hukum </w:t>
      </w:r>
      <w:proofErr w:type="spellStart"/>
      <w:r w:rsidRPr="00BD11F4">
        <w:rPr>
          <w:rFonts w:ascii="Arial" w:hAnsi="Arial" w:cs="Arial"/>
          <w:color w:val="000000"/>
        </w:rPr>
        <w:t>Progresif</w:t>
      </w:r>
      <w:proofErr w:type="spellEnd"/>
      <w:r w:rsidRPr="00BD11F4">
        <w:rPr>
          <w:rFonts w:ascii="Arial" w:hAnsi="Arial" w:cs="Arial"/>
          <w:color w:val="000000"/>
        </w:rPr>
        <w:t>, 25(1), 88–102.</w:t>
      </w:r>
      <w:r w:rsidRPr="00BD11F4">
        <w:rPr>
          <w:rFonts w:ascii="Arial" w:hAnsi="Arial" w:cs="Arial"/>
          <w:color w:val="000000"/>
        </w:rPr>
        <w:tab/>
      </w:r>
    </w:p>
    <w:p w14:paraId="6339EB99"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t>Ambarwati</w:t>
      </w:r>
      <w:proofErr w:type="spellEnd"/>
      <w:r w:rsidRPr="00BD11F4">
        <w:rPr>
          <w:rFonts w:ascii="Arial" w:hAnsi="Arial" w:cs="Arial"/>
          <w:color w:val="000000"/>
        </w:rPr>
        <w:t xml:space="preserve">, R. &amp; Nugroho, S. (2021). Peran Hukum </w:t>
      </w:r>
      <w:proofErr w:type="spellStart"/>
      <w:r w:rsidRPr="00BD11F4">
        <w:rPr>
          <w:rFonts w:ascii="Arial" w:hAnsi="Arial" w:cs="Arial"/>
          <w:color w:val="000000"/>
        </w:rPr>
        <w:t>dalam</w:t>
      </w:r>
      <w:proofErr w:type="spellEnd"/>
      <w:r w:rsidRPr="00BD11F4">
        <w:rPr>
          <w:rFonts w:ascii="Arial" w:hAnsi="Arial" w:cs="Arial"/>
          <w:color w:val="000000"/>
        </w:rPr>
        <w:t xml:space="preserve"> Pembangunan Nasional: </w:t>
      </w:r>
      <w:proofErr w:type="spellStart"/>
      <w:r w:rsidRPr="00BD11F4">
        <w:rPr>
          <w:rFonts w:ascii="Arial" w:hAnsi="Arial" w:cs="Arial"/>
          <w:color w:val="000000"/>
        </w:rPr>
        <w:t>Tinjauan</w:t>
      </w:r>
      <w:proofErr w:type="spellEnd"/>
      <w:r w:rsidRPr="00BD11F4">
        <w:rPr>
          <w:rFonts w:ascii="Arial" w:hAnsi="Arial" w:cs="Arial"/>
          <w:color w:val="000000"/>
        </w:rPr>
        <w:t xml:space="preserve"> Teori dan </w:t>
      </w:r>
      <w:proofErr w:type="spellStart"/>
      <w:r w:rsidRPr="00BD11F4">
        <w:rPr>
          <w:rFonts w:ascii="Arial" w:hAnsi="Arial" w:cs="Arial"/>
          <w:color w:val="000000"/>
        </w:rPr>
        <w:t>Praktik</w:t>
      </w:r>
      <w:proofErr w:type="spellEnd"/>
      <w:r w:rsidRPr="00BD11F4">
        <w:rPr>
          <w:rFonts w:ascii="Arial" w:hAnsi="Arial" w:cs="Arial"/>
          <w:color w:val="000000"/>
        </w:rPr>
        <w:t xml:space="preserve">. </w:t>
      </w:r>
      <w:proofErr w:type="spellStart"/>
      <w:r w:rsidRPr="00BD11F4">
        <w:rPr>
          <w:rFonts w:ascii="Arial" w:hAnsi="Arial" w:cs="Arial"/>
          <w:color w:val="000000"/>
        </w:rPr>
        <w:t>Jurnal</w:t>
      </w:r>
      <w:proofErr w:type="spellEnd"/>
      <w:r w:rsidRPr="00BD11F4">
        <w:rPr>
          <w:rFonts w:ascii="Arial" w:hAnsi="Arial" w:cs="Arial"/>
          <w:color w:val="000000"/>
        </w:rPr>
        <w:t xml:space="preserve"> Hukum </w:t>
      </w:r>
      <w:proofErr w:type="spellStart"/>
      <w:r w:rsidRPr="00BD11F4">
        <w:rPr>
          <w:rFonts w:ascii="Arial" w:hAnsi="Arial" w:cs="Arial"/>
          <w:color w:val="000000"/>
        </w:rPr>
        <w:t>Progresif</w:t>
      </w:r>
      <w:proofErr w:type="spellEnd"/>
      <w:r w:rsidRPr="00BD11F4">
        <w:rPr>
          <w:rFonts w:ascii="Arial" w:hAnsi="Arial" w:cs="Arial"/>
          <w:color w:val="000000"/>
        </w:rPr>
        <w:t>, 22(1), 75–89.</w:t>
      </w:r>
      <w:r w:rsidRPr="00BD11F4">
        <w:rPr>
          <w:rFonts w:ascii="Arial" w:hAnsi="Arial" w:cs="Arial"/>
          <w:color w:val="000000"/>
        </w:rPr>
        <w:tab/>
      </w:r>
    </w:p>
    <w:p w14:paraId="401039FA"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Arifin, M., &amp; Maulana, R. (2021). Hukum Adat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Hukum Nasional: </w:t>
      </w:r>
      <w:proofErr w:type="spellStart"/>
      <w:r w:rsidRPr="00BD11F4">
        <w:rPr>
          <w:rFonts w:ascii="Arial" w:hAnsi="Arial" w:cs="Arial"/>
          <w:color w:val="000000"/>
        </w:rPr>
        <w:t>Telaah</w:t>
      </w:r>
      <w:proofErr w:type="spellEnd"/>
      <w:r w:rsidRPr="00BD11F4">
        <w:rPr>
          <w:rFonts w:ascii="Arial" w:hAnsi="Arial" w:cs="Arial"/>
          <w:color w:val="000000"/>
        </w:rPr>
        <w:t xml:space="preserve"> </w:t>
      </w:r>
      <w:proofErr w:type="spellStart"/>
      <w:r w:rsidRPr="00BD11F4">
        <w:rPr>
          <w:rFonts w:ascii="Arial" w:hAnsi="Arial" w:cs="Arial"/>
          <w:color w:val="000000"/>
        </w:rPr>
        <w:t>terhadap</w:t>
      </w:r>
      <w:proofErr w:type="spellEnd"/>
      <w:r w:rsidRPr="00BD11F4">
        <w:rPr>
          <w:rFonts w:ascii="Arial" w:hAnsi="Arial" w:cs="Arial"/>
          <w:color w:val="000000"/>
        </w:rPr>
        <w:t xml:space="preserve"> UU Desa dan UUPA. </w:t>
      </w:r>
      <w:proofErr w:type="spellStart"/>
      <w:r w:rsidRPr="00BD11F4">
        <w:rPr>
          <w:rFonts w:ascii="Arial" w:hAnsi="Arial" w:cs="Arial"/>
          <w:color w:val="000000"/>
        </w:rPr>
        <w:t>Jurnal</w:t>
      </w:r>
      <w:proofErr w:type="spellEnd"/>
      <w:r w:rsidRPr="00BD11F4">
        <w:rPr>
          <w:rFonts w:ascii="Arial" w:hAnsi="Arial" w:cs="Arial"/>
          <w:color w:val="000000"/>
        </w:rPr>
        <w:t xml:space="preserve"> Hukum dan Pembangunan </w:t>
      </w:r>
      <w:proofErr w:type="spellStart"/>
      <w:r w:rsidRPr="00BD11F4">
        <w:rPr>
          <w:rFonts w:ascii="Arial" w:hAnsi="Arial" w:cs="Arial"/>
          <w:color w:val="000000"/>
        </w:rPr>
        <w:t>Sosial</w:t>
      </w:r>
      <w:proofErr w:type="spellEnd"/>
      <w:r w:rsidRPr="00BD11F4">
        <w:rPr>
          <w:rFonts w:ascii="Arial" w:hAnsi="Arial" w:cs="Arial"/>
          <w:color w:val="000000"/>
        </w:rPr>
        <w:t>, 13(2), 94–108.</w:t>
      </w:r>
      <w:r w:rsidRPr="00BD11F4">
        <w:rPr>
          <w:rFonts w:ascii="Arial" w:hAnsi="Arial" w:cs="Arial"/>
          <w:color w:val="000000"/>
        </w:rPr>
        <w:tab/>
      </w:r>
    </w:p>
    <w:p w14:paraId="498D0D27"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Azizah, N., &amp; Firmansyah, M. (2021). </w:t>
      </w:r>
      <w:proofErr w:type="spellStart"/>
      <w:r w:rsidRPr="00BD11F4">
        <w:rPr>
          <w:rFonts w:ascii="Arial" w:hAnsi="Arial" w:cs="Arial"/>
          <w:color w:val="000000"/>
        </w:rPr>
        <w:t>Perkembangan</w:t>
      </w:r>
      <w:proofErr w:type="spellEnd"/>
      <w:r w:rsidRPr="00BD11F4">
        <w:rPr>
          <w:rFonts w:ascii="Arial" w:hAnsi="Arial" w:cs="Arial"/>
          <w:color w:val="000000"/>
        </w:rPr>
        <w:t xml:space="preserve"> Hukum Ekonomi Syariah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Hukum Nasional Indonesia. </w:t>
      </w:r>
      <w:proofErr w:type="spellStart"/>
      <w:r w:rsidRPr="00BD11F4">
        <w:rPr>
          <w:rFonts w:ascii="Arial" w:hAnsi="Arial" w:cs="Arial"/>
          <w:color w:val="000000"/>
        </w:rPr>
        <w:t>Jurnal</w:t>
      </w:r>
      <w:proofErr w:type="spellEnd"/>
      <w:r w:rsidRPr="00BD11F4">
        <w:rPr>
          <w:rFonts w:ascii="Arial" w:hAnsi="Arial" w:cs="Arial"/>
          <w:color w:val="000000"/>
        </w:rPr>
        <w:t xml:space="preserve"> Hukum Ekonomi Syariah, 9(1), 56–70.</w:t>
      </w:r>
      <w:r w:rsidRPr="00BD11F4">
        <w:rPr>
          <w:rFonts w:ascii="Arial" w:hAnsi="Arial" w:cs="Arial"/>
          <w:color w:val="000000"/>
        </w:rPr>
        <w:tab/>
      </w:r>
    </w:p>
    <w:p w14:paraId="433E6922"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t>Fauzan</w:t>
      </w:r>
      <w:proofErr w:type="spellEnd"/>
      <w:r w:rsidRPr="00BD11F4">
        <w:rPr>
          <w:rFonts w:ascii="Arial" w:hAnsi="Arial" w:cs="Arial"/>
          <w:color w:val="000000"/>
        </w:rPr>
        <w:t xml:space="preserve">, M., &amp; Ridwan, T. (2021). </w:t>
      </w:r>
      <w:proofErr w:type="spellStart"/>
      <w:r w:rsidRPr="00BD11F4">
        <w:rPr>
          <w:rFonts w:ascii="Arial" w:hAnsi="Arial" w:cs="Arial"/>
          <w:color w:val="000000"/>
        </w:rPr>
        <w:t>Tumpang</w:t>
      </w:r>
      <w:proofErr w:type="spellEnd"/>
      <w:r w:rsidRPr="00BD11F4">
        <w:rPr>
          <w:rFonts w:ascii="Arial" w:hAnsi="Arial" w:cs="Arial"/>
          <w:color w:val="000000"/>
        </w:rPr>
        <w:t xml:space="preserve"> </w:t>
      </w:r>
      <w:proofErr w:type="spellStart"/>
      <w:r w:rsidRPr="00BD11F4">
        <w:rPr>
          <w:rFonts w:ascii="Arial" w:hAnsi="Arial" w:cs="Arial"/>
          <w:color w:val="000000"/>
        </w:rPr>
        <w:t>Tindih</w:t>
      </w:r>
      <w:proofErr w:type="spellEnd"/>
      <w:r w:rsidRPr="00BD11F4">
        <w:rPr>
          <w:rFonts w:ascii="Arial" w:hAnsi="Arial" w:cs="Arial"/>
          <w:color w:val="000000"/>
        </w:rPr>
        <w:t xml:space="preserve"> Hukum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Konflik</w:t>
      </w:r>
      <w:proofErr w:type="spellEnd"/>
      <w:r w:rsidRPr="00BD11F4">
        <w:rPr>
          <w:rFonts w:ascii="Arial" w:hAnsi="Arial" w:cs="Arial"/>
          <w:color w:val="000000"/>
        </w:rPr>
        <w:t xml:space="preserve"> </w:t>
      </w:r>
      <w:proofErr w:type="spellStart"/>
      <w:r w:rsidRPr="00BD11F4">
        <w:rPr>
          <w:rFonts w:ascii="Arial" w:hAnsi="Arial" w:cs="Arial"/>
          <w:color w:val="000000"/>
        </w:rPr>
        <w:t>Agraria</w:t>
      </w:r>
      <w:proofErr w:type="spellEnd"/>
      <w:r w:rsidRPr="00BD11F4">
        <w:rPr>
          <w:rFonts w:ascii="Arial" w:hAnsi="Arial" w:cs="Arial"/>
          <w:color w:val="000000"/>
        </w:rPr>
        <w:t xml:space="preserve">: Studi Kasus di Sumatera Barat. </w:t>
      </w:r>
      <w:proofErr w:type="spellStart"/>
      <w:r w:rsidRPr="00BD11F4">
        <w:rPr>
          <w:rFonts w:ascii="Arial" w:hAnsi="Arial" w:cs="Arial"/>
          <w:color w:val="000000"/>
        </w:rPr>
        <w:t>Jurnal</w:t>
      </w:r>
      <w:proofErr w:type="spellEnd"/>
      <w:r w:rsidRPr="00BD11F4">
        <w:rPr>
          <w:rFonts w:ascii="Arial" w:hAnsi="Arial" w:cs="Arial"/>
          <w:color w:val="000000"/>
        </w:rPr>
        <w:t xml:space="preserve"> Hukum dan </w:t>
      </w:r>
      <w:proofErr w:type="spellStart"/>
      <w:r w:rsidRPr="00BD11F4">
        <w:rPr>
          <w:rFonts w:ascii="Arial" w:hAnsi="Arial" w:cs="Arial"/>
          <w:color w:val="000000"/>
        </w:rPr>
        <w:t>Keadilan</w:t>
      </w:r>
      <w:proofErr w:type="spellEnd"/>
      <w:r w:rsidRPr="00BD11F4">
        <w:rPr>
          <w:rFonts w:ascii="Arial" w:hAnsi="Arial" w:cs="Arial"/>
          <w:color w:val="000000"/>
        </w:rPr>
        <w:t xml:space="preserve"> </w:t>
      </w:r>
      <w:proofErr w:type="spellStart"/>
      <w:r w:rsidRPr="00BD11F4">
        <w:rPr>
          <w:rFonts w:ascii="Arial" w:hAnsi="Arial" w:cs="Arial"/>
          <w:color w:val="000000"/>
        </w:rPr>
        <w:t>Sosial</w:t>
      </w:r>
      <w:proofErr w:type="spellEnd"/>
      <w:r w:rsidRPr="00BD11F4">
        <w:rPr>
          <w:rFonts w:ascii="Arial" w:hAnsi="Arial" w:cs="Arial"/>
          <w:color w:val="000000"/>
        </w:rPr>
        <w:t>, 12(1), 77–91.</w:t>
      </w:r>
      <w:r w:rsidRPr="00BD11F4">
        <w:rPr>
          <w:rFonts w:ascii="Arial" w:hAnsi="Arial" w:cs="Arial"/>
          <w:color w:val="000000"/>
        </w:rPr>
        <w:tab/>
      </w:r>
    </w:p>
    <w:p w14:paraId="4C5420A2"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Fitriani, Y. (2021). </w:t>
      </w:r>
      <w:proofErr w:type="spellStart"/>
      <w:r w:rsidRPr="00BD11F4">
        <w:rPr>
          <w:rFonts w:ascii="Arial" w:hAnsi="Arial" w:cs="Arial"/>
          <w:color w:val="000000"/>
        </w:rPr>
        <w:t>Pluralisme</w:t>
      </w:r>
      <w:proofErr w:type="spellEnd"/>
      <w:r w:rsidRPr="00BD11F4">
        <w:rPr>
          <w:rFonts w:ascii="Arial" w:hAnsi="Arial" w:cs="Arial"/>
          <w:color w:val="000000"/>
        </w:rPr>
        <w:t xml:space="preserve"> Hukum dan Integrasi </w:t>
      </w:r>
      <w:proofErr w:type="spellStart"/>
      <w:r w:rsidRPr="00BD11F4">
        <w:rPr>
          <w:rFonts w:ascii="Arial" w:hAnsi="Arial" w:cs="Arial"/>
          <w:color w:val="000000"/>
        </w:rPr>
        <w:t>Sistem</w:t>
      </w:r>
      <w:proofErr w:type="spellEnd"/>
      <w:r w:rsidRPr="00BD11F4">
        <w:rPr>
          <w:rFonts w:ascii="Arial" w:hAnsi="Arial" w:cs="Arial"/>
          <w:color w:val="000000"/>
        </w:rPr>
        <w:t xml:space="preserve"> Hukum Nasional Indonesia. </w:t>
      </w:r>
      <w:proofErr w:type="spellStart"/>
      <w:r w:rsidRPr="00BD11F4">
        <w:rPr>
          <w:rFonts w:ascii="Arial" w:hAnsi="Arial" w:cs="Arial"/>
          <w:color w:val="000000"/>
        </w:rPr>
        <w:t>Jurnal</w:t>
      </w:r>
      <w:proofErr w:type="spellEnd"/>
      <w:r w:rsidRPr="00BD11F4">
        <w:rPr>
          <w:rFonts w:ascii="Arial" w:hAnsi="Arial" w:cs="Arial"/>
          <w:color w:val="000000"/>
        </w:rPr>
        <w:t xml:space="preserve"> Hukum dan Pembangunan, 51(3), 234–250.</w:t>
      </w:r>
      <w:r w:rsidRPr="00BD11F4">
        <w:rPr>
          <w:rFonts w:ascii="Arial" w:hAnsi="Arial" w:cs="Arial"/>
          <w:color w:val="000000"/>
        </w:rPr>
        <w:tab/>
      </w:r>
    </w:p>
    <w:p w14:paraId="5274B42D"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t>Harahap</w:t>
      </w:r>
      <w:proofErr w:type="spellEnd"/>
      <w:r w:rsidRPr="00BD11F4">
        <w:rPr>
          <w:rFonts w:ascii="Arial" w:hAnsi="Arial" w:cs="Arial"/>
          <w:color w:val="000000"/>
        </w:rPr>
        <w:t xml:space="preserve">, A. &amp; Siregar, M. (2020). </w:t>
      </w:r>
      <w:proofErr w:type="spellStart"/>
      <w:r w:rsidRPr="00BD11F4">
        <w:rPr>
          <w:rFonts w:ascii="Arial" w:hAnsi="Arial" w:cs="Arial"/>
          <w:color w:val="000000"/>
        </w:rPr>
        <w:t>Pendekatan</w:t>
      </w:r>
      <w:proofErr w:type="spellEnd"/>
      <w:r w:rsidRPr="00BD11F4">
        <w:rPr>
          <w:rFonts w:ascii="Arial" w:hAnsi="Arial" w:cs="Arial"/>
          <w:color w:val="000000"/>
        </w:rPr>
        <w:t xml:space="preserve"> </w:t>
      </w:r>
      <w:proofErr w:type="spellStart"/>
      <w:r w:rsidRPr="00BD11F4">
        <w:rPr>
          <w:rFonts w:ascii="Arial" w:hAnsi="Arial" w:cs="Arial"/>
          <w:color w:val="000000"/>
        </w:rPr>
        <w:t>Integratif</w:t>
      </w:r>
      <w:proofErr w:type="spellEnd"/>
      <w:r w:rsidRPr="00BD11F4">
        <w:rPr>
          <w:rFonts w:ascii="Arial" w:hAnsi="Arial" w:cs="Arial"/>
          <w:color w:val="000000"/>
        </w:rPr>
        <w:t xml:space="preserve"> </w:t>
      </w:r>
      <w:proofErr w:type="spellStart"/>
      <w:r w:rsidRPr="00BD11F4">
        <w:rPr>
          <w:rFonts w:ascii="Arial" w:hAnsi="Arial" w:cs="Arial"/>
          <w:color w:val="000000"/>
        </w:rPr>
        <w:t>dalam</w:t>
      </w:r>
      <w:proofErr w:type="spellEnd"/>
      <w:r w:rsidRPr="00BD11F4">
        <w:rPr>
          <w:rFonts w:ascii="Arial" w:hAnsi="Arial" w:cs="Arial"/>
          <w:color w:val="000000"/>
        </w:rPr>
        <w:t xml:space="preserve"> Reformasi Hukum Nasional. </w:t>
      </w:r>
      <w:proofErr w:type="spellStart"/>
      <w:r w:rsidRPr="00BD11F4">
        <w:rPr>
          <w:rFonts w:ascii="Arial" w:hAnsi="Arial" w:cs="Arial"/>
          <w:color w:val="000000"/>
        </w:rPr>
        <w:t>Mimbar</w:t>
      </w:r>
      <w:proofErr w:type="spellEnd"/>
      <w:r w:rsidRPr="00BD11F4">
        <w:rPr>
          <w:rFonts w:ascii="Arial" w:hAnsi="Arial" w:cs="Arial"/>
          <w:color w:val="000000"/>
        </w:rPr>
        <w:t xml:space="preserve"> Hukum, 32(1), 67–83.</w:t>
      </w:r>
      <w:r w:rsidRPr="00BD11F4">
        <w:rPr>
          <w:rFonts w:ascii="Arial" w:hAnsi="Arial" w:cs="Arial"/>
          <w:color w:val="000000"/>
        </w:rPr>
        <w:tab/>
      </w:r>
    </w:p>
    <w:p w14:paraId="62310D91"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Hasanah, U. &amp; Lubis, F. (2023). </w:t>
      </w:r>
      <w:proofErr w:type="spellStart"/>
      <w:r w:rsidRPr="00BD11F4">
        <w:rPr>
          <w:rFonts w:ascii="Arial" w:hAnsi="Arial" w:cs="Arial"/>
          <w:color w:val="000000"/>
        </w:rPr>
        <w:t>Pluralisme</w:t>
      </w:r>
      <w:proofErr w:type="spellEnd"/>
      <w:r w:rsidRPr="00BD11F4">
        <w:rPr>
          <w:rFonts w:ascii="Arial" w:hAnsi="Arial" w:cs="Arial"/>
          <w:color w:val="000000"/>
        </w:rPr>
        <w:t xml:space="preserve"> Hukum dan </w:t>
      </w:r>
      <w:proofErr w:type="spellStart"/>
      <w:r w:rsidRPr="00BD11F4">
        <w:rPr>
          <w:rFonts w:ascii="Arial" w:hAnsi="Arial" w:cs="Arial"/>
          <w:color w:val="000000"/>
        </w:rPr>
        <w:t>Penguatan</w:t>
      </w:r>
      <w:proofErr w:type="spellEnd"/>
      <w:r w:rsidRPr="00BD11F4">
        <w:rPr>
          <w:rFonts w:ascii="Arial" w:hAnsi="Arial" w:cs="Arial"/>
          <w:color w:val="000000"/>
        </w:rPr>
        <w:t xml:space="preserve"> </w:t>
      </w:r>
      <w:proofErr w:type="spellStart"/>
      <w:r w:rsidRPr="00BD11F4">
        <w:rPr>
          <w:rFonts w:ascii="Arial" w:hAnsi="Arial" w:cs="Arial"/>
          <w:color w:val="000000"/>
        </w:rPr>
        <w:t>Keadilan</w:t>
      </w:r>
      <w:proofErr w:type="spellEnd"/>
      <w:r w:rsidRPr="00BD11F4">
        <w:rPr>
          <w:rFonts w:ascii="Arial" w:hAnsi="Arial" w:cs="Arial"/>
          <w:color w:val="000000"/>
        </w:rPr>
        <w:t xml:space="preserve"> </w:t>
      </w:r>
      <w:proofErr w:type="spellStart"/>
      <w:r w:rsidRPr="00BD11F4">
        <w:rPr>
          <w:rFonts w:ascii="Arial" w:hAnsi="Arial" w:cs="Arial"/>
          <w:color w:val="000000"/>
        </w:rPr>
        <w:t>Komunitas</w:t>
      </w:r>
      <w:proofErr w:type="spellEnd"/>
      <w:r w:rsidRPr="00BD11F4">
        <w:rPr>
          <w:rFonts w:ascii="Arial" w:hAnsi="Arial" w:cs="Arial"/>
          <w:color w:val="000000"/>
        </w:rPr>
        <w:t xml:space="preserve"> Lokal. Al-Ihkam: </w:t>
      </w:r>
      <w:proofErr w:type="spellStart"/>
      <w:r w:rsidRPr="00BD11F4">
        <w:rPr>
          <w:rFonts w:ascii="Arial" w:hAnsi="Arial" w:cs="Arial"/>
          <w:color w:val="000000"/>
        </w:rPr>
        <w:t>Jurnal</w:t>
      </w:r>
      <w:proofErr w:type="spellEnd"/>
      <w:r w:rsidRPr="00BD11F4">
        <w:rPr>
          <w:rFonts w:ascii="Arial" w:hAnsi="Arial" w:cs="Arial"/>
          <w:color w:val="000000"/>
        </w:rPr>
        <w:t xml:space="preserve"> Hukum dan Pranata </w:t>
      </w:r>
      <w:proofErr w:type="spellStart"/>
      <w:r w:rsidRPr="00BD11F4">
        <w:rPr>
          <w:rFonts w:ascii="Arial" w:hAnsi="Arial" w:cs="Arial"/>
          <w:color w:val="000000"/>
        </w:rPr>
        <w:t>Sosial</w:t>
      </w:r>
      <w:proofErr w:type="spellEnd"/>
      <w:r w:rsidRPr="00BD11F4">
        <w:rPr>
          <w:rFonts w:ascii="Arial" w:hAnsi="Arial" w:cs="Arial"/>
          <w:color w:val="000000"/>
        </w:rPr>
        <w:t>, 19(1), 45–60.</w:t>
      </w:r>
      <w:r w:rsidRPr="00BD11F4">
        <w:rPr>
          <w:rFonts w:ascii="Arial" w:hAnsi="Arial" w:cs="Arial"/>
          <w:color w:val="000000"/>
        </w:rPr>
        <w:tab/>
      </w:r>
    </w:p>
    <w:p w14:paraId="0EE2711C"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Kusuma, D., &amp; Marwan, A. (2022). </w:t>
      </w:r>
      <w:proofErr w:type="spellStart"/>
      <w:r w:rsidRPr="00BD11F4">
        <w:rPr>
          <w:rFonts w:ascii="Arial" w:hAnsi="Arial" w:cs="Arial"/>
          <w:color w:val="000000"/>
        </w:rPr>
        <w:t>Konflik</w:t>
      </w:r>
      <w:proofErr w:type="spellEnd"/>
      <w:r w:rsidRPr="00BD11F4">
        <w:rPr>
          <w:rFonts w:ascii="Arial" w:hAnsi="Arial" w:cs="Arial"/>
          <w:color w:val="000000"/>
        </w:rPr>
        <w:t xml:space="preserve"> </w:t>
      </w:r>
      <w:proofErr w:type="spellStart"/>
      <w:r w:rsidRPr="00BD11F4">
        <w:rPr>
          <w:rFonts w:ascii="Arial" w:hAnsi="Arial" w:cs="Arial"/>
          <w:color w:val="000000"/>
        </w:rPr>
        <w:t>Yurisdiksi</w:t>
      </w:r>
      <w:proofErr w:type="spellEnd"/>
      <w:r w:rsidRPr="00BD11F4">
        <w:rPr>
          <w:rFonts w:ascii="Arial" w:hAnsi="Arial" w:cs="Arial"/>
          <w:color w:val="000000"/>
        </w:rPr>
        <w:t xml:space="preserve">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w:t>
      </w:r>
      <w:proofErr w:type="spellStart"/>
      <w:r w:rsidRPr="00BD11F4">
        <w:rPr>
          <w:rFonts w:ascii="Arial" w:hAnsi="Arial" w:cs="Arial"/>
          <w:color w:val="000000"/>
        </w:rPr>
        <w:t>Peradilan</w:t>
      </w:r>
      <w:proofErr w:type="spellEnd"/>
      <w:r w:rsidRPr="00BD11F4">
        <w:rPr>
          <w:rFonts w:ascii="Arial" w:hAnsi="Arial" w:cs="Arial"/>
          <w:color w:val="000000"/>
        </w:rPr>
        <w:t xml:space="preserve"> di Indonesia: </w:t>
      </w:r>
      <w:proofErr w:type="spellStart"/>
      <w:r w:rsidRPr="00BD11F4">
        <w:rPr>
          <w:rFonts w:ascii="Arial" w:hAnsi="Arial" w:cs="Arial"/>
          <w:color w:val="000000"/>
        </w:rPr>
        <w:t>Tinjauan</w:t>
      </w:r>
      <w:proofErr w:type="spellEnd"/>
      <w:r w:rsidRPr="00BD11F4">
        <w:rPr>
          <w:rFonts w:ascii="Arial" w:hAnsi="Arial" w:cs="Arial"/>
          <w:color w:val="000000"/>
        </w:rPr>
        <w:t xml:space="preserve"> </w:t>
      </w:r>
      <w:proofErr w:type="spellStart"/>
      <w:r w:rsidRPr="00BD11F4">
        <w:rPr>
          <w:rFonts w:ascii="Arial" w:hAnsi="Arial" w:cs="Arial"/>
          <w:color w:val="000000"/>
        </w:rPr>
        <w:t>dari</w:t>
      </w:r>
      <w:proofErr w:type="spellEnd"/>
      <w:r w:rsidRPr="00BD11F4">
        <w:rPr>
          <w:rFonts w:ascii="Arial" w:hAnsi="Arial" w:cs="Arial"/>
          <w:color w:val="000000"/>
        </w:rPr>
        <w:t xml:space="preserve"> </w:t>
      </w:r>
      <w:proofErr w:type="spellStart"/>
      <w:r w:rsidRPr="00BD11F4">
        <w:rPr>
          <w:rFonts w:ascii="Arial" w:hAnsi="Arial" w:cs="Arial"/>
          <w:color w:val="000000"/>
        </w:rPr>
        <w:t>Perspektif</w:t>
      </w:r>
      <w:proofErr w:type="spellEnd"/>
      <w:r w:rsidRPr="00BD11F4">
        <w:rPr>
          <w:rFonts w:ascii="Arial" w:hAnsi="Arial" w:cs="Arial"/>
          <w:color w:val="000000"/>
        </w:rPr>
        <w:t xml:space="preserve"> Integrasi Hukum. </w:t>
      </w:r>
      <w:proofErr w:type="spellStart"/>
      <w:r w:rsidRPr="00BD11F4">
        <w:rPr>
          <w:rFonts w:ascii="Arial" w:hAnsi="Arial" w:cs="Arial"/>
          <w:color w:val="000000"/>
        </w:rPr>
        <w:t>Jurnal</w:t>
      </w:r>
      <w:proofErr w:type="spellEnd"/>
      <w:r w:rsidRPr="00BD11F4">
        <w:rPr>
          <w:rFonts w:ascii="Arial" w:hAnsi="Arial" w:cs="Arial"/>
          <w:color w:val="000000"/>
        </w:rPr>
        <w:t xml:space="preserve"> Hukum </w:t>
      </w:r>
      <w:proofErr w:type="spellStart"/>
      <w:r w:rsidRPr="00BD11F4">
        <w:rPr>
          <w:rFonts w:ascii="Arial" w:hAnsi="Arial" w:cs="Arial"/>
          <w:color w:val="000000"/>
        </w:rPr>
        <w:t>Konstitusi</w:t>
      </w:r>
      <w:proofErr w:type="spellEnd"/>
      <w:r w:rsidRPr="00BD11F4">
        <w:rPr>
          <w:rFonts w:ascii="Arial" w:hAnsi="Arial" w:cs="Arial"/>
          <w:color w:val="000000"/>
        </w:rPr>
        <w:t>, 14(2), 118–132.</w:t>
      </w:r>
      <w:r w:rsidRPr="00BD11F4">
        <w:rPr>
          <w:rFonts w:ascii="Arial" w:hAnsi="Arial" w:cs="Arial"/>
          <w:color w:val="000000"/>
        </w:rPr>
        <w:tab/>
      </w:r>
    </w:p>
    <w:p w14:paraId="2019F533"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Ma’ruf, H., Nugroho, S., &amp; Farid, L. (2023). Hukum Islam dan </w:t>
      </w:r>
      <w:proofErr w:type="spellStart"/>
      <w:r w:rsidRPr="00BD11F4">
        <w:rPr>
          <w:rFonts w:ascii="Arial" w:hAnsi="Arial" w:cs="Arial"/>
          <w:color w:val="000000"/>
        </w:rPr>
        <w:t>Tantangan</w:t>
      </w:r>
      <w:proofErr w:type="spellEnd"/>
      <w:r w:rsidRPr="00BD11F4">
        <w:rPr>
          <w:rFonts w:ascii="Arial" w:hAnsi="Arial" w:cs="Arial"/>
          <w:color w:val="000000"/>
        </w:rPr>
        <w:t xml:space="preserve"> Integrasi di Indonesia. Al-Ihkam: </w:t>
      </w:r>
      <w:proofErr w:type="spellStart"/>
      <w:r w:rsidRPr="00BD11F4">
        <w:rPr>
          <w:rFonts w:ascii="Arial" w:hAnsi="Arial" w:cs="Arial"/>
          <w:color w:val="000000"/>
        </w:rPr>
        <w:t>Jurnal</w:t>
      </w:r>
      <w:proofErr w:type="spellEnd"/>
      <w:r w:rsidRPr="00BD11F4">
        <w:rPr>
          <w:rFonts w:ascii="Arial" w:hAnsi="Arial" w:cs="Arial"/>
          <w:color w:val="000000"/>
        </w:rPr>
        <w:t xml:space="preserve"> Hukum dan Pranata </w:t>
      </w:r>
      <w:proofErr w:type="spellStart"/>
      <w:r w:rsidRPr="00BD11F4">
        <w:rPr>
          <w:rFonts w:ascii="Arial" w:hAnsi="Arial" w:cs="Arial"/>
          <w:color w:val="000000"/>
        </w:rPr>
        <w:t>Sosial</w:t>
      </w:r>
      <w:proofErr w:type="spellEnd"/>
      <w:r w:rsidRPr="00BD11F4">
        <w:rPr>
          <w:rFonts w:ascii="Arial" w:hAnsi="Arial" w:cs="Arial"/>
          <w:color w:val="000000"/>
        </w:rPr>
        <w:t>, 18(1), 12–31.</w:t>
      </w:r>
      <w:r w:rsidRPr="00BD11F4">
        <w:rPr>
          <w:rFonts w:ascii="Arial" w:hAnsi="Arial" w:cs="Arial"/>
          <w:color w:val="000000"/>
        </w:rPr>
        <w:tab/>
      </w:r>
    </w:p>
    <w:p w14:paraId="1EE05795"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lastRenderedPageBreak/>
        <w:t>Maulida</w:t>
      </w:r>
      <w:proofErr w:type="spellEnd"/>
      <w:r w:rsidRPr="00BD11F4">
        <w:rPr>
          <w:rFonts w:ascii="Arial" w:hAnsi="Arial" w:cs="Arial"/>
          <w:color w:val="000000"/>
        </w:rPr>
        <w:t xml:space="preserve">, R., &amp; </w:t>
      </w:r>
      <w:proofErr w:type="spellStart"/>
      <w:r w:rsidRPr="00BD11F4">
        <w:rPr>
          <w:rFonts w:ascii="Arial" w:hAnsi="Arial" w:cs="Arial"/>
          <w:color w:val="000000"/>
        </w:rPr>
        <w:t>Syahrin</w:t>
      </w:r>
      <w:proofErr w:type="spellEnd"/>
      <w:r w:rsidRPr="00BD11F4">
        <w:rPr>
          <w:rFonts w:ascii="Arial" w:hAnsi="Arial" w:cs="Arial"/>
          <w:color w:val="000000"/>
        </w:rPr>
        <w:t xml:space="preserve">, S. (2022). </w:t>
      </w:r>
      <w:proofErr w:type="spellStart"/>
      <w:r w:rsidRPr="00BD11F4">
        <w:rPr>
          <w:rFonts w:ascii="Arial" w:hAnsi="Arial" w:cs="Arial"/>
          <w:color w:val="000000"/>
        </w:rPr>
        <w:t>Kompilasi</w:t>
      </w:r>
      <w:proofErr w:type="spellEnd"/>
      <w:r w:rsidRPr="00BD11F4">
        <w:rPr>
          <w:rFonts w:ascii="Arial" w:hAnsi="Arial" w:cs="Arial"/>
          <w:color w:val="000000"/>
        </w:rPr>
        <w:t xml:space="preserve"> Hukum Islam dan </w:t>
      </w:r>
      <w:proofErr w:type="spellStart"/>
      <w:r w:rsidRPr="00BD11F4">
        <w:rPr>
          <w:rFonts w:ascii="Arial" w:hAnsi="Arial" w:cs="Arial"/>
          <w:color w:val="000000"/>
        </w:rPr>
        <w:t>Peranannya</w:t>
      </w:r>
      <w:proofErr w:type="spellEnd"/>
      <w:r w:rsidRPr="00BD11F4">
        <w:rPr>
          <w:rFonts w:ascii="Arial" w:hAnsi="Arial" w:cs="Arial"/>
          <w:color w:val="000000"/>
        </w:rPr>
        <w:t xml:space="preserve">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Peradilan</w:t>
      </w:r>
      <w:proofErr w:type="spellEnd"/>
      <w:r w:rsidRPr="00BD11F4">
        <w:rPr>
          <w:rFonts w:ascii="Arial" w:hAnsi="Arial" w:cs="Arial"/>
          <w:color w:val="000000"/>
        </w:rPr>
        <w:t xml:space="preserve"> Agama di Indonesia.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Yudisial</w:t>
      </w:r>
      <w:proofErr w:type="spellEnd"/>
      <w:r w:rsidRPr="00BD11F4">
        <w:rPr>
          <w:rFonts w:ascii="Arial" w:hAnsi="Arial" w:cs="Arial"/>
          <w:color w:val="000000"/>
        </w:rPr>
        <w:t>, 17(3), 124–138.</w:t>
      </w:r>
      <w:r w:rsidRPr="00BD11F4">
        <w:rPr>
          <w:rFonts w:ascii="Arial" w:hAnsi="Arial" w:cs="Arial"/>
          <w:color w:val="000000"/>
        </w:rPr>
        <w:tab/>
      </w:r>
    </w:p>
    <w:p w14:paraId="1F8CAF7F"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t>Mokgoro</w:t>
      </w:r>
      <w:proofErr w:type="spellEnd"/>
      <w:r w:rsidRPr="00BD11F4">
        <w:rPr>
          <w:rFonts w:ascii="Arial" w:hAnsi="Arial" w:cs="Arial"/>
          <w:color w:val="000000"/>
        </w:rPr>
        <w:t>, Y. (2021). Customary Law in a Modern Constitution: The South African Experience. South African Journal on Human Rights, 37(1), 5–20.</w:t>
      </w:r>
      <w:r w:rsidRPr="00BD11F4">
        <w:rPr>
          <w:rFonts w:ascii="Arial" w:hAnsi="Arial" w:cs="Arial"/>
          <w:color w:val="000000"/>
        </w:rPr>
        <w:tab/>
      </w:r>
    </w:p>
    <w:p w14:paraId="73354FBC"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Nuraini, L., &amp; Hakim, R. (2020). </w:t>
      </w:r>
      <w:proofErr w:type="spellStart"/>
      <w:r w:rsidRPr="00BD11F4">
        <w:rPr>
          <w:rFonts w:ascii="Arial" w:hAnsi="Arial" w:cs="Arial"/>
          <w:color w:val="000000"/>
        </w:rPr>
        <w:t>Resistensi</w:t>
      </w:r>
      <w:proofErr w:type="spellEnd"/>
      <w:r w:rsidRPr="00BD11F4">
        <w:rPr>
          <w:rFonts w:ascii="Arial" w:hAnsi="Arial" w:cs="Arial"/>
          <w:color w:val="000000"/>
        </w:rPr>
        <w:t xml:space="preserve"> Hukum Adat </w:t>
      </w:r>
      <w:proofErr w:type="spellStart"/>
      <w:r w:rsidRPr="00BD11F4">
        <w:rPr>
          <w:rFonts w:ascii="Arial" w:hAnsi="Arial" w:cs="Arial"/>
          <w:color w:val="000000"/>
        </w:rPr>
        <w:t>terhadap</w:t>
      </w:r>
      <w:proofErr w:type="spellEnd"/>
      <w:r w:rsidRPr="00BD11F4">
        <w:rPr>
          <w:rFonts w:ascii="Arial" w:hAnsi="Arial" w:cs="Arial"/>
          <w:color w:val="000000"/>
        </w:rPr>
        <w:t xml:space="preserve"> </w:t>
      </w:r>
      <w:proofErr w:type="spellStart"/>
      <w:r w:rsidRPr="00BD11F4">
        <w:rPr>
          <w:rFonts w:ascii="Arial" w:hAnsi="Arial" w:cs="Arial"/>
          <w:color w:val="000000"/>
        </w:rPr>
        <w:t>Regulasi</w:t>
      </w:r>
      <w:proofErr w:type="spellEnd"/>
      <w:r w:rsidRPr="00BD11F4">
        <w:rPr>
          <w:rFonts w:ascii="Arial" w:hAnsi="Arial" w:cs="Arial"/>
          <w:color w:val="000000"/>
        </w:rPr>
        <w:t xml:space="preserve"> Nasional: </w:t>
      </w:r>
      <w:proofErr w:type="spellStart"/>
      <w:r w:rsidRPr="00BD11F4">
        <w:rPr>
          <w:rFonts w:ascii="Arial" w:hAnsi="Arial" w:cs="Arial"/>
          <w:color w:val="000000"/>
        </w:rPr>
        <w:t>Refleksi</w:t>
      </w:r>
      <w:proofErr w:type="spellEnd"/>
      <w:r w:rsidRPr="00BD11F4">
        <w:rPr>
          <w:rFonts w:ascii="Arial" w:hAnsi="Arial" w:cs="Arial"/>
          <w:color w:val="000000"/>
        </w:rPr>
        <w:t xml:space="preserve"> </w:t>
      </w:r>
      <w:proofErr w:type="spellStart"/>
      <w:r w:rsidRPr="00BD11F4">
        <w:rPr>
          <w:rFonts w:ascii="Arial" w:hAnsi="Arial" w:cs="Arial"/>
          <w:color w:val="000000"/>
        </w:rPr>
        <w:t>dari</w:t>
      </w:r>
      <w:proofErr w:type="spellEnd"/>
      <w:r w:rsidRPr="00BD11F4">
        <w:rPr>
          <w:rFonts w:ascii="Arial" w:hAnsi="Arial" w:cs="Arial"/>
          <w:color w:val="000000"/>
        </w:rPr>
        <w:t xml:space="preserve"> </w:t>
      </w:r>
      <w:proofErr w:type="spellStart"/>
      <w:r w:rsidRPr="00BD11F4">
        <w:rPr>
          <w:rFonts w:ascii="Arial" w:hAnsi="Arial" w:cs="Arial"/>
          <w:color w:val="000000"/>
        </w:rPr>
        <w:t>Komunitas</w:t>
      </w:r>
      <w:proofErr w:type="spellEnd"/>
      <w:r w:rsidRPr="00BD11F4">
        <w:rPr>
          <w:rFonts w:ascii="Arial" w:hAnsi="Arial" w:cs="Arial"/>
          <w:color w:val="000000"/>
        </w:rPr>
        <w:t xml:space="preserve"> Adat di Kalimantan.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Pluralisme</w:t>
      </w:r>
      <w:proofErr w:type="spellEnd"/>
      <w:r w:rsidRPr="00BD11F4">
        <w:rPr>
          <w:rFonts w:ascii="Arial" w:hAnsi="Arial" w:cs="Arial"/>
          <w:color w:val="000000"/>
        </w:rPr>
        <w:t xml:space="preserve"> Hukum Indonesia, 10(3), 95–109.</w:t>
      </w:r>
      <w:r w:rsidRPr="00BD11F4">
        <w:rPr>
          <w:rFonts w:ascii="Arial" w:hAnsi="Arial" w:cs="Arial"/>
          <w:color w:val="000000"/>
        </w:rPr>
        <w:tab/>
      </w:r>
    </w:p>
    <w:p w14:paraId="5F40CCC4"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Putri, D. A. &amp; Santoso, H. (2022). </w:t>
      </w:r>
      <w:proofErr w:type="spellStart"/>
      <w:r w:rsidRPr="00BD11F4">
        <w:rPr>
          <w:rFonts w:ascii="Arial" w:hAnsi="Arial" w:cs="Arial"/>
          <w:color w:val="000000"/>
        </w:rPr>
        <w:t>Prosedur</w:t>
      </w:r>
      <w:proofErr w:type="spellEnd"/>
      <w:r w:rsidRPr="00BD11F4">
        <w:rPr>
          <w:rFonts w:ascii="Arial" w:hAnsi="Arial" w:cs="Arial"/>
          <w:color w:val="000000"/>
        </w:rPr>
        <w:t xml:space="preserve"> PRISMA </w:t>
      </w:r>
      <w:proofErr w:type="spellStart"/>
      <w:r w:rsidRPr="00BD11F4">
        <w:rPr>
          <w:rFonts w:ascii="Arial" w:hAnsi="Arial" w:cs="Arial"/>
          <w:color w:val="000000"/>
        </w:rPr>
        <w:t>dalam</w:t>
      </w:r>
      <w:proofErr w:type="spellEnd"/>
      <w:r w:rsidRPr="00BD11F4">
        <w:rPr>
          <w:rFonts w:ascii="Arial" w:hAnsi="Arial" w:cs="Arial"/>
          <w:color w:val="000000"/>
        </w:rPr>
        <w:t xml:space="preserve"> SLR: Studi Kasus </w:t>
      </w:r>
      <w:proofErr w:type="spellStart"/>
      <w:r w:rsidRPr="00BD11F4">
        <w:rPr>
          <w:rFonts w:ascii="Arial" w:hAnsi="Arial" w:cs="Arial"/>
          <w:color w:val="000000"/>
        </w:rPr>
        <w:t>Penelitian</w:t>
      </w:r>
      <w:proofErr w:type="spellEnd"/>
      <w:r w:rsidRPr="00BD11F4">
        <w:rPr>
          <w:rFonts w:ascii="Arial" w:hAnsi="Arial" w:cs="Arial"/>
          <w:color w:val="000000"/>
        </w:rPr>
        <w:t xml:space="preserve"> Hukum. </w:t>
      </w:r>
      <w:proofErr w:type="spellStart"/>
      <w:r w:rsidRPr="00BD11F4">
        <w:rPr>
          <w:rFonts w:ascii="Arial" w:hAnsi="Arial" w:cs="Arial"/>
          <w:color w:val="000000"/>
        </w:rPr>
        <w:t>Jurnal</w:t>
      </w:r>
      <w:proofErr w:type="spellEnd"/>
      <w:r w:rsidRPr="00BD11F4">
        <w:rPr>
          <w:rFonts w:ascii="Arial" w:hAnsi="Arial" w:cs="Arial"/>
          <w:color w:val="000000"/>
        </w:rPr>
        <w:t xml:space="preserve"> Kajian Hukum dan Masyarakat, 13(1), 55–70.</w:t>
      </w:r>
      <w:r w:rsidRPr="00BD11F4">
        <w:rPr>
          <w:rFonts w:ascii="Arial" w:hAnsi="Arial" w:cs="Arial"/>
          <w:color w:val="000000"/>
        </w:rPr>
        <w:tab/>
      </w:r>
    </w:p>
    <w:p w14:paraId="53FC6394"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t>Rachmadsyah</w:t>
      </w:r>
      <w:proofErr w:type="spellEnd"/>
      <w:r w:rsidRPr="00BD11F4">
        <w:rPr>
          <w:rFonts w:ascii="Arial" w:hAnsi="Arial" w:cs="Arial"/>
          <w:color w:val="000000"/>
        </w:rPr>
        <w:t xml:space="preserve">, A. (2022). </w:t>
      </w:r>
      <w:proofErr w:type="spellStart"/>
      <w:r w:rsidRPr="00BD11F4">
        <w:rPr>
          <w:rFonts w:ascii="Arial" w:hAnsi="Arial" w:cs="Arial"/>
          <w:color w:val="000000"/>
        </w:rPr>
        <w:t>Dinamika</w:t>
      </w:r>
      <w:proofErr w:type="spellEnd"/>
      <w:r w:rsidRPr="00BD11F4">
        <w:rPr>
          <w:rFonts w:ascii="Arial" w:hAnsi="Arial" w:cs="Arial"/>
          <w:color w:val="000000"/>
        </w:rPr>
        <w:t xml:space="preserve"> Hukum Adat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Hukum Nasional.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Konstitusi</w:t>
      </w:r>
      <w:proofErr w:type="spellEnd"/>
      <w:r w:rsidRPr="00BD11F4">
        <w:rPr>
          <w:rFonts w:ascii="Arial" w:hAnsi="Arial" w:cs="Arial"/>
          <w:color w:val="000000"/>
        </w:rPr>
        <w:t>, 19(4), 528–542.</w:t>
      </w:r>
      <w:r w:rsidRPr="00BD11F4">
        <w:rPr>
          <w:rFonts w:ascii="Arial" w:hAnsi="Arial" w:cs="Arial"/>
          <w:color w:val="000000"/>
        </w:rPr>
        <w:tab/>
      </w:r>
    </w:p>
    <w:p w14:paraId="1484FF95"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Ramadhani, T. &amp; Salim, R. (2023). Legal Development Theory dan Reformasi Hukum di Indonesia.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Ilmu</w:t>
      </w:r>
      <w:proofErr w:type="spellEnd"/>
      <w:r w:rsidRPr="00BD11F4">
        <w:rPr>
          <w:rFonts w:ascii="Arial" w:hAnsi="Arial" w:cs="Arial"/>
          <w:color w:val="000000"/>
        </w:rPr>
        <w:t xml:space="preserve"> Hukum dan </w:t>
      </w:r>
      <w:proofErr w:type="spellStart"/>
      <w:r w:rsidRPr="00BD11F4">
        <w:rPr>
          <w:rFonts w:ascii="Arial" w:hAnsi="Arial" w:cs="Arial"/>
          <w:color w:val="000000"/>
        </w:rPr>
        <w:t>Kebijakan</w:t>
      </w:r>
      <w:proofErr w:type="spellEnd"/>
      <w:r w:rsidRPr="00BD11F4">
        <w:rPr>
          <w:rFonts w:ascii="Arial" w:hAnsi="Arial" w:cs="Arial"/>
          <w:color w:val="000000"/>
        </w:rPr>
        <w:t xml:space="preserve"> Publik, 15(2), 112–130.</w:t>
      </w:r>
      <w:r w:rsidRPr="00BD11F4">
        <w:rPr>
          <w:rFonts w:ascii="Arial" w:hAnsi="Arial" w:cs="Arial"/>
          <w:color w:val="000000"/>
        </w:rPr>
        <w:tab/>
      </w:r>
    </w:p>
    <w:p w14:paraId="4D4DB04C"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Riyanto, S. &amp; </w:t>
      </w:r>
      <w:proofErr w:type="spellStart"/>
      <w:r w:rsidRPr="00BD11F4">
        <w:rPr>
          <w:rFonts w:ascii="Arial" w:hAnsi="Arial" w:cs="Arial"/>
          <w:color w:val="000000"/>
        </w:rPr>
        <w:t>Handayani</w:t>
      </w:r>
      <w:proofErr w:type="spellEnd"/>
      <w:r w:rsidRPr="00BD11F4">
        <w:rPr>
          <w:rFonts w:ascii="Arial" w:hAnsi="Arial" w:cs="Arial"/>
          <w:color w:val="000000"/>
        </w:rPr>
        <w:t xml:space="preserve">, R. (2021). Systematic Literature Review </w:t>
      </w:r>
      <w:proofErr w:type="spellStart"/>
      <w:r w:rsidRPr="00BD11F4">
        <w:rPr>
          <w:rFonts w:ascii="Arial" w:hAnsi="Arial" w:cs="Arial"/>
          <w:color w:val="000000"/>
        </w:rPr>
        <w:t>sebagai</w:t>
      </w:r>
      <w:proofErr w:type="spellEnd"/>
      <w:r w:rsidRPr="00BD11F4">
        <w:rPr>
          <w:rFonts w:ascii="Arial" w:hAnsi="Arial" w:cs="Arial"/>
          <w:color w:val="000000"/>
        </w:rPr>
        <w:t xml:space="preserve"> </w:t>
      </w:r>
      <w:proofErr w:type="spellStart"/>
      <w:r w:rsidRPr="00BD11F4">
        <w:rPr>
          <w:rFonts w:ascii="Arial" w:hAnsi="Arial" w:cs="Arial"/>
          <w:color w:val="000000"/>
        </w:rPr>
        <w:t>Metodologi</w:t>
      </w:r>
      <w:proofErr w:type="spellEnd"/>
      <w:r w:rsidRPr="00BD11F4">
        <w:rPr>
          <w:rFonts w:ascii="Arial" w:hAnsi="Arial" w:cs="Arial"/>
          <w:color w:val="000000"/>
        </w:rPr>
        <w:t xml:space="preserve"> Riset </w:t>
      </w:r>
      <w:proofErr w:type="spellStart"/>
      <w:r w:rsidRPr="00BD11F4">
        <w:rPr>
          <w:rFonts w:ascii="Arial" w:hAnsi="Arial" w:cs="Arial"/>
          <w:color w:val="000000"/>
        </w:rPr>
        <w:t>Ilmu</w:t>
      </w:r>
      <w:proofErr w:type="spellEnd"/>
      <w:r w:rsidRPr="00BD11F4">
        <w:rPr>
          <w:rFonts w:ascii="Arial" w:hAnsi="Arial" w:cs="Arial"/>
          <w:color w:val="000000"/>
        </w:rPr>
        <w:t xml:space="preserve"> </w:t>
      </w:r>
      <w:proofErr w:type="spellStart"/>
      <w:r w:rsidRPr="00BD11F4">
        <w:rPr>
          <w:rFonts w:ascii="Arial" w:hAnsi="Arial" w:cs="Arial"/>
          <w:color w:val="000000"/>
        </w:rPr>
        <w:t>Sosial</w:t>
      </w:r>
      <w:proofErr w:type="spellEnd"/>
      <w:r w:rsidRPr="00BD11F4">
        <w:rPr>
          <w:rFonts w:ascii="Arial" w:hAnsi="Arial" w:cs="Arial"/>
          <w:color w:val="000000"/>
        </w:rPr>
        <w:t xml:space="preserve">.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Ilmu</w:t>
      </w:r>
      <w:proofErr w:type="spellEnd"/>
      <w:r w:rsidRPr="00BD11F4">
        <w:rPr>
          <w:rFonts w:ascii="Arial" w:hAnsi="Arial" w:cs="Arial"/>
          <w:color w:val="000000"/>
        </w:rPr>
        <w:t xml:space="preserve"> </w:t>
      </w:r>
      <w:proofErr w:type="spellStart"/>
      <w:r w:rsidRPr="00BD11F4">
        <w:rPr>
          <w:rFonts w:ascii="Arial" w:hAnsi="Arial" w:cs="Arial"/>
          <w:color w:val="000000"/>
        </w:rPr>
        <w:t>Sosial</w:t>
      </w:r>
      <w:proofErr w:type="spellEnd"/>
      <w:r w:rsidRPr="00BD11F4">
        <w:rPr>
          <w:rFonts w:ascii="Arial" w:hAnsi="Arial" w:cs="Arial"/>
          <w:color w:val="000000"/>
        </w:rPr>
        <w:t>, 19(2), 120–133.</w:t>
      </w:r>
      <w:r w:rsidRPr="00BD11F4">
        <w:rPr>
          <w:rFonts w:ascii="Arial" w:hAnsi="Arial" w:cs="Arial"/>
          <w:color w:val="000000"/>
        </w:rPr>
        <w:tab/>
      </w:r>
    </w:p>
    <w:p w14:paraId="38714427"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Rohman, A., &amp; </w:t>
      </w:r>
      <w:proofErr w:type="spellStart"/>
      <w:r w:rsidRPr="00BD11F4">
        <w:rPr>
          <w:rFonts w:ascii="Arial" w:hAnsi="Arial" w:cs="Arial"/>
          <w:color w:val="000000"/>
        </w:rPr>
        <w:t>Nursyahbani</w:t>
      </w:r>
      <w:proofErr w:type="spellEnd"/>
      <w:r w:rsidRPr="00BD11F4">
        <w:rPr>
          <w:rFonts w:ascii="Arial" w:hAnsi="Arial" w:cs="Arial"/>
          <w:color w:val="000000"/>
        </w:rPr>
        <w:t xml:space="preserve">, D. (2023). </w:t>
      </w:r>
      <w:proofErr w:type="spellStart"/>
      <w:r w:rsidRPr="00BD11F4">
        <w:rPr>
          <w:rFonts w:ascii="Arial" w:hAnsi="Arial" w:cs="Arial"/>
          <w:color w:val="000000"/>
        </w:rPr>
        <w:t>Tantangan</w:t>
      </w:r>
      <w:proofErr w:type="spellEnd"/>
      <w:r w:rsidRPr="00BD11F4">
        <w:rPr>
          <w:rFonts w:ascii="Arial" w:hAnsi="Arial" w:cs="Arial"/>
          <w:color w:val="000000"/>
        </w:rPr>
        <w:t xml:space="preserve"> Integrasi Hukum Islam dan HAM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Hukum Nasional. Al-Ahkam: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Ilmu</w:t>
      </w:r>
      <w:proofErr w:type="spellEnd"/>
      <w:r w:rsidRPr="00BD11F4">
        <w:rPr>
          <w:rFonts w:ascii="Arial" w:hAnsi="Arial" w:cs="Arial"/>
          <w:color w:val="000000"/>
        </w:rPr>
        <w:t xml:space="preserve"> Syariah dan Hukum, 33(1), 45–61.</w:t>
      </w:r>
      <w:r w:rsidRPr="00BD11F4">
        <w:rPr>
          <w:rFonts w:ascii="Arial" w:hAnsi="Arial" w:cs="Arial"/>
          <w:color w:val="000000"/>
        </w:rPr>
        <w:tab/>
      </w:r>
    </w:p>
    <w:p w14:paraId="6C505F43"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proofErr w:type="spellStart"/>
      <w:r w:rsidRPr="00BD11F4">
        <w:rPr>
          <w:rFonts w:ascii="Arial" w:hAnsi="Arial" w:cs="Arial"/>
          <w:color w:val="000000"/>
        </w:rPr>
        <w:t>Saragih</w:t>
      </w:r>
      <w:proofErr w:type="spellEnd"/>
      <w:r w:rsidRPr="00BD11F4">
        <w:rPr>
          <w:rFonts w:ascii="Arial" w:hAnsi="Arial" w:cs="Arial"/>
          <w:color w:val="000000"/>
        </w:rPr>
        <w:t xml:space="preserve">, H., &amp; Maulana, F. (2023). </w:t>
      </w:r>
      <w:proofErr w:type="spellStart"/>
      <w:r w:rsidRPr="00BD11F4">
        <w:rPr>
          <w:rFonts w:ascii="Arial" w:hAnsi="Arial" w:cs="Arial"/>
          <w:color w:val="000000"/>
        </w:rPr>
        <w:t>Kontroversi</w:t>
      </w:r>
      <w:proofErr w:type="spellEnd"/>
      <w:r w:rsidRPr="00BD11F4">
        <w:rPr>
          <w:rFonts w:ascii="Arial" w:hAnsi="Arial" w:cs="Arial"/>
          <w:color w:val="000000"/>
        </w:rPr>
        <w:t xml:space="preserve"> dan </w:t>
      </w:r>
      <w:proofErr w:type="spellStart"/>
      <w:r w:rsidRPr="00BD11F4">
        <w:rPr>
          <w:rFonts w:ascii="Arial" w:hAnsi="Arial" w:cs="Arial"/>
          <w:color w:val="000000"/>
        </w:rPr>
        <w:t>Prospek</w:t>
      </w:r>
      <w:proofErr w:type="spellEnd"/>
      <w:r w:rsidRPr="00BD11F4">
        <w:rPr>
          <w:rFonts w:ascii="Arial" w:hAnsi="Arial" w:cs="Arial"/>
          <w:color w:val="000000"/>
        </w:rPr>
        <w:t xml:space="preserve"> KUHP Nasional: </w:t>
      </w:r>
      <w:proofErr w:type="spellStart"/>
      <w:r w:rsidRPr="00BD11F4">
        <w:rPr>
          <w:rFonts w:ascii="Arial" w:hAnsi="Arial" w:cs="Arial"/>
          <w:color w:val="000000"/>
        </w:rPr>
        <w:t>Analisis</w:t>
      </w:r>
      <w:proofErr w:type="spellEnd"/>
      <w:r w:rsidRPr="00BD11F4">
        <w:rPr>
          <w:rFonts w:ascii="Arial" w:hAnsi="Arial" w:cs="Arial"/>
          <w:color w:val="000000"/>
        </w:rPr>
        <w:t xml:space="preserve"> </w:t>
      </w:r>
      <w:proofErr w:type="spellStart"/>
      <w:r w:rsidRPr="00BD11F4">
        <w:rPr>
          <w:rFonts w:ascii="Arial" w:hAnsi="Arial" w:cs="Arial"/>
          <w:color w:val="000000"/>
        </w:rPr>
        <w:t>terhadap</w:t>
      </w:r>
      <w:proofErr w:type="spellEnd"/>
      <w:r w:rsidRPr="00BD11F4">
        <w:rPr>
          <w:rFonts w:ascii="Arial" w:hAnsi="Arial" w:cs="Arial"/>
          <w:color w:val="000000"/>
        </w:rPr>
        <w:t xml:space="preserve"> UU No. 1 </w:t>
      </w:r>
      <w:proofErr w:type="spellStart"/>
      <w:r w:rsidRPr="00BD11F4">
        <w:rPr>
          <w:rFonts w:ascii="Arial" w:hAnsi="Arial" w:cs="Arial"/>
          <w:color w:val="000000"/>
        </w:rPr>
        <w:t>Tahun</w:t>
      </w:r>
      <w:proofErr w:type="spellEnd"/>
      <w:r w:rsidRPr="00BD11F4">
        <w:rPr>
          <w:rFonts w:ascii="Arial" w:hAnsi="Arial" w:cs="Arial"/>
          <w:color w:val="000000"/>
        </w:rPr>
        <w:t xml:space="preserve"> 2023. </w:t>
      </w:r>
      <w:proofErr w:type="spellStart"/>
      <w:r w:rsidRPr="00BD11F4">
        <w:rPr>
          <w:rFonts w:ascii="Arial" w:hAnsi="Arial" w:cs="Arial"/>
          <w:color w:val="000000"/>
        </w:rPr>
        <w:t>Jurnal</w:t>
      </w:r>
      <w:proofErr w:type="spellEnd"/>
      <w:r w:rsidRPr="00BD11F4">
        <w:rPr>
          <w:rFonts w:ascii="Arial" w:hAnsi="Arial" w:cs="Arial"/>
          <w:color w:val="000000"/>
        </w:rPr>
        <w:t xml:space="preserve"> Hukum dan </w:t>
      </w:r>
      <w:proofErr w:type="spellStart"/>
      <w:r w:rsidRPr="00BD11F4">
        <w:rPr>
          <w:rFonts w:ascii="Arial" w:hAnsi="Arial" w:cs="Arial"/>
          <w:color w:val="000000"/>
        </w:rPr>
        <w:t>Konstitusi</w:t>
      </w:r>
      <w:proofErr w:type="spellEnd"/>
      <w:r w:rsidRPr="00BD11F4">
        <w:rPr>
          <w:rFonts w:ascii="Arial" w:hAnsi="Arial" w:cs="Arial"/>
          <w:color w:val="000000"/>
        </w:rPr>
        <w:t>, 15(1), 45–62.</w:t>
      </w:r>
      <w:r w:rsidRPr="00BD11F4">
        <w:rPr>
          <w:rFonts w:ascii="Arial" w:hAnsi="Arial" w:cs="Arial"/>
          <w:color w:val="000000"/>
        </w:rPr>
        <w:tab/>
      </w:r>
    </w:p>
    <w:p w14:paraId="62637809"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Sari, D. &amp; Yuliana, N. (2022). </w:t>
      </w:r>
      <w:proofErr w:type="spellStart"/>
      <w:r w:rsidRPr="00BD11F4">
        <w:rPr>
          <w:rFonts w:ascii="Arial" w:hAnsi="Arial" w:cs="Arial"/>
          <w:color w:val="000000"/>
        </w:rPr>
        <w:t>Pluralisme</w:t>
      </w:r>
      <w:proofErr w:type="spellEnd"/>
      <w:r w:rsidRPr="00BD11F4">
        <w:rPr>
          <w:rFonts w:ascii="Arial" w:hAnsi="Arial" w:cs="Arial"/>
          <w:color w:val="000000"/>
        </w:rPr>
        <w:t xml:space="preserve"> Hukum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Konteks</w:t>
      </w:r>
      <w:proofErr w:type="spellEnd"/>
      <w:r w:rsidRPr="00BD11F4">
        <w:rPr>
          <w:rFonts w:ascii="Arial" w:hAnsi="Arial" w:cs="Arial"/>
          <w:color w:val="000000"/>
        </w:rPr>
        <w:t xml:space="preserve"> Indonesia: Antara </w:t>
      </w:r>
      <w:proofErr w:type="spellStart"/>
      <w:r w:rsidRPr="00BD11F4">
        <w:rPr>
          <w:rFonts w:ascii="Arial" w:hAnsi="Arial" w:cs="Arial"/>
          <w:color w:val="000000"/>
        </w:rPr>
        <w:t>Pengakuan</w:t>
      </w:r>
      <w:proofErr w:type="spellEnd"/>
      <w:r w:rsidRPr="00BD11F4">
        <w:rPr>
          <w:rFonts w:ascii="Arial" w:hAnsi="Arial" w:cs="Arial"/>
          <w:color w:val="000000"/>
        </w:rPr>
        <w:t xml:space="preserve"> dan </w:t>
      </w:r>
      <w:proofErr w:type="spellStart"/>
      <w:r w:rsidRPr="00BD11F4">
        <w:rPr>
          <w:rFonts w:ascii="Arial" w:hAnsi="Arial" w:cs="Arial"/>
          <w:color w:val="000000"/>
        </w:rPr>
        <w:t>Implementasi</w:t>
      </w:r>
      <w:proofErr w:type="spellEnd"/>
      <w:r w:rsidRPr="00BD11F4">
        <w:rPr>
          <w:rFonts w:ascii="Arial" w:hAnsi="Arial" w:cs="Arial"/>
          <w:color w:val="000000"/>
        </w:rPr>
        <w:t xml:space="preserve">. </w:t>
      </w:r>
      <w:proofErr w:type="spellStart"/>
      <w:r w:rsidRPr="00BD11F4">
        <w:rPr>
          <w:rFonts w:ascii="Arial" w:hAnsi="Arial" w:cs="Arial"/>
          <w:color w:val="000000"/>
        </w:rPr>
        <w:t>Jurnal</w:t>
      </w:r>
      <w:proofErr w:type="spellEnd"/>
      <w:r w:rsidRPr="00BD11F4">
        <w:rPr>
          <w:rFonts w:ascii="Arial" w:hAnsi="Arial" w:cs="Arial"/>
          <w:color w:val="000000"/>
        </w:rPr>
        <w:t xml:space="preserve"> Hukum dan Masyarakat, 18(2), 110–123.</w:t>
      </w:r>
      <w:r w:rsidRPr="00BD11F4">
        <w:rPr>
          <w:rFonts w:ascii="Arial" w:hAnsi="Arial" w:cs="Arial"/>
          <w:color w:val="000000"/>
        </w:rPr>
        <w:tab/>
      </w:r>
    </w:p>
    <w:p w14:paraId="1D00E449"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Suryani, L., &amp; Utomo, B. (2024). </w:t>
      </w:r>
      <w:proofErr w:type="spellStart"/>
      <w:r w:rsidRPr="00BD11F4">
        <w:rPr>
          <w:rFonts w:ascii="Arial" w:hAnsi="Arial" w:cs="Arial"/>
          <w:color w:val="000000"/>
        </w:rPr>
        <w:t>Menuju</w:t>
      </w:r>
      <w:proofErr w:type="spellEnd"/>
      <w:r w:rsidRPr="00BD11F4">
        <w:rPr>
          <w:rFonts w:ascii="Arial" w:hAnsi="Arial" w:cs="Arial"/>
          <w:color w:val="000000"/>
        </w:rPr>
        <w:t xml:space="preserve"> </w:t>
      </w:r>
      <w:proofErr w:type="spellStart"/>
      <w:r w:rsidRPr="00BD11F4">
        <w:rPr>
          <w:rFonts w:ascii="Arial" w:hAnsi="Arial" w:cs="Arial"/>
          <w:color w:val="000000"/>
        </w:rPr>
        <w:t>Harmonisasi</w:t>
      </w:r>
      <w:proofErr w:type="spellEnd"/>
      <w:r w:rsidRPr="00BD11F4">
        <w:rPr>
          <w:rFonts w:ascii="Arial" w:hAnsi="Arial" w:cs="Arial"/>
          <w:color w:val="000000"/>
        </w:rPr>
        <w:t xml:space="preserve"> Hukum Nasional: </w:t>
      </w:r>
      <w:proofErr w:type="spellStart"/>
      <w:r w:rsidRPr="00BD11F4">
        <w:rPr>
          <w:rFonts w:ascii="Arial" w:hAnsi="Arial" w:cs="Arial"/>
          <w:color w:val="000000"/>
        </w:rPr>
        <w:t>Sebuah</w:t>
      </w:r>
      <w:proofErr w:type="spellEnd"/>
      <w:r w:rsidRPr="00BD11F4">
        <w:rPr>
          <w:rFonts w:ascii="Arial" w:hAnsi="Arial" w:cs="Arial"/>
          <w:color w:val="000000"/>
        </w:rPr>
        <w:t xml:space="preserve"> </w:t>
      </w:r>
      <w:proofErr w:type="spellStart"/>
      <w:r w:rsidRPr="00BD11F4">
        <w:rPr>
          <w:rFonts w:ascii="Arial" w:hAnsi="Arial" w:cs="Arial"/>
          <w:color w:val="000000"/>
        </w:rPr>
        <w:t>Tinjauan</w:t>
      </w:r>
      <w:proofErr w:type="spellEnd"/>
      <w:r w:rsidRPr="00BD11F4">
        <w:rPr>
          <w:rFonts w:ascii="Arial" w:hAnsi="Arial" w:cs="Arial"/>
          <w:color w:val="000000"/>
        </w:rPr>
        <w:t xml:space="preserve"> </w:t>
      </w:r>
      <w:proofErr w:type="spellStart"/>
      <w:r w:rsidRPr="00BD11F4">
        <w:rPr>
          <w:rFonts w:ascii="Arial" w:hAnsi="Arial" w:cs="Arial"/>
          <w:color w:val="000000"/>
        </w:rPr>
        <w:t>Kritis</w:t>
      </w:r>
      <w:proofErr w:type="spellEnd"/>
      <w:r w:rsidRPr="00BD11F4">
        <w:rPr>
          <w:rFonts w:ascii="Arial" w:hAnsi="Arial" w:cs="Arial"/>
          <w:color w:val="000000"/>
        </w:rPr>
        <w:t xml:space="preserve">.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Legislasi</w:t>
      </w:r>
      <w:proofErr w:type="spellEnd"/>
      <w:r w:rsidRPr="00BD11F4">
        <w:rPr>
          <w:rFonts w:ascii="Arial" w:hAnsi="Arial" w:cs="Arial"/>
          <w:color w:val="000000"/>
        </w:rPr>
        <w:t xml:space="preserve"> Indonesia, 21(2), 98–115.</w:t>
      </w:r>
      <w:r w:rsidRPr="00BD11F4">
        <w:rPr>
          <w:rFonts w:ascii="Arial" w:hAnsi="Arial" w:cs="Arial"/>
          <w:color w:val="000000"/>
        </w:rPr>
        <w:tab/>
      </w:r>
    </w:p>
    <w:p w14:paraId="46429764"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Susanti, A., &amp; Hamzah, F. (2023). </w:t>
      </w:r>
      <w:proofErr w:type="spellStart"/>
      <w:r w:rsidRPr="00BD11F4">
        <w:rPr>
          <w:rFonts w:ascii="Arial" w:hAnsi="Arial" w:cs="Arial"/>
          <w:color w:val="000000"/>
        </w:rPr>
        <w:t>Implementasi</w:t>
      </w:r>
      <w:proofErr w:type="spellEnd"/>
      <w:r w:rsidRPr="00BD11F4">
        <w:rPr>
          <w:rFonts w:ascii="Arial" w:hAnsi="Arial" w:cs="Arial"/>
          <w:color w:val="000000"/>
        </w:rPr>
        <w:t xml:space="preserve"> Hukum Adat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Konflik</w:t>
      </w:r>
      <w:proofErr w:type="spellEnd"/>
      <w:r w:rsidRPr="00BD11F4">
        <w:rPr>
          <w:rFonts w:ascii="Arial" w:hAnsi="Arial" w:cs="Arial"/>
          <w:color w:val="000000"/>
        </w:rPr>
        <w:t xml:space="preserve"> </w:t>
      </w:r>
      <w:proofErr w:type="spellStart"/>
      <w:r w:rsidRPr="00BD11F4">
        <w:rPr>
          <w:rFonts w:ascii="Arial" w:hAnsi="Arial" w:cs="Arial"/>
          <w:color w:val="000000"/>
        </w:rPr>
        <w:t>Agraria</w:t>
      </w:r>
      <w:proofErr w:type="spellEnd"/>
      <w:r w:rsidRPr="00BD11F4">
        <w:rPr>
          <w:rFonts w:ascii="Arial" w:hAnsi="Arial" w:cs="Arial"/>
          <w:color w:val="000000"/>
        </w:rPr>
        <w:t xml:space="preserve">: Studi Kasus di Kalimantan dan Papua. </w:t>
      </w:r>
      <w:proofErr w:type="spellStart"/>
      <w:r w:rsidRPr="00BD11F4">
        <w:rPr>
          <w:rFonts w:ascii="Arial" w:hAnsi="Arial" w:cs="Arial"/>
          <w:color w:val="000000"/>
        </w:rPr>
        <w:t>Jurnal</w:t>
      </w:r>
      <w:proofErr w:type="spellEnd"/>
      <w:r w:rsidRPr="00BD11F4">
        <w:rPr>
          <w:rFonts w:ascii="Arial" w:hAnsi="Arial" w:cs="Arial"/>
          <w:color w:val="000000"/>
        </w:rPr>
        <w:t xml:space="preserve"> Hukum </w:t>
      </w:r>
      <w:proofErr w:type="spellStart"/>
      <w:r w:rsidRPr="00BD11F4">
        <w:rPr>
          <w:rFonts w:ascii="Arial" w:hAnsi="Arial" w:cs="Arial"/>
          <w:color w:val="000000"/>
        </w:rPr>
        <w:t>Agraria</w:t>
      </w:r>
      <w:proofErr w:type="spellEnd"/>
      <w:r w:rsidRPr="00BD11F4">
        <w:rPr>
          <w:rFonts w:ascii="Arial" w:hAnsi="Arial" w:cs="Arial"/>
          <w:color w:val="000000"/>
        </w:rPr>
        <w:t>, 17(1), 33–47.</w:t>
      </w:r>
      <w:r w:rsidRPr="00BD11F4">
        <w:rPr>
          <w:rFonts w:ascii="Arial" w:hAnsi="Arial" w:cs="Arial"/>
          <w:color w:val="000000"/>
        </w:rPr>
        <w:tab/>
      </w:r>
    </w:p>
    <w:p w14:paraId="03B6AD20"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Wibowo, A., &amp; </w:t>
      </w:r>
      <w:proofErr w:type="spellStart"/>
      <w:r w:rsidRPr="00BD11F4">
        <w:rPr>
          <w:rFonts w:ascii="Arial" w:hAnsi="Arial" w:cs="Arial"/>
          <w:color w:val="000000"/>
        </w:rPr>
        <w:t>Prasetyo</w:t>
      </w:r>
      <w:proofErr w:type="spellEnd"/>
      <w:r w:rsidRPr="00BD11F4">
        <w:rPr>
          <w:rFonts w:ascii="Arial" w:hAnsi="Arial" w:cs="Arial"/>
          <w:color w:val="000000"/>
        </w:rPr>
        <w:t xml:space="preserve">, D. (2023). Reformasi Hukum di Indonesia: Antara Harapan dan </w:t>
      </w:r>
      <w:proofErr w:type="spellStart"/>
      <w:r w:rsidRPr="00BD11F4">
        <w:rPr>
          <w:rFonts w:ascii="Arial" w:hAnsi="Arial" w:cs="Arial"/>
          <w:color w:val="000000"/>
        </w:rPr>
        <w:t>Tantangan</w:t>
      </w:r>
      <w:proofErr w:type="spellEnd"/>
      <w:r w:rsidRPr="00BD11F4">
        <w:rPr>
          <w:rFonts w:ascii="Arial" w:hAnsi="Arial" w:cs="Arial"/>
          <w:color w:val="000000"/>
        </w:rPr>
        <w:t xml:space="preserve">.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Legislasi</w:t>
      </w:r>
      <w:proofErr w:type="spellEnd"/>
      <w:r w:rsidRPr="00BD11F4">
        <w:rPr>
          <w:rFonts w:ascii="Arial" w:hAnsi="Arial" w:cs="Arial"/>
          <w:color w:val="000000"/>
        </w:rPr>
        <w:t xml:space="preserve"> dan </w:t>
      </w:r>
      <w:proofErr w:type="spellStart"/>
      <w:r w:rsidRPr="00BD11F4">
        <w:rPr>
          <w:rFonts w:ascii="Arial" w:hAnsi="Arial" w:cs="Arial"/>
          <w:color w:val="000000"/>
        </w:rPr>
        <w:t>Demokrasi</w:t>
      </w:r>
      <w:proofErr w:type="spellEnd"/>
      <w:r w:rsidRPr="00BD11F4">
        <w:rPr>
          <w:rFonts w:ascii="Arial" w:hAnsi="Arial" w:cs="Arial"/>
          <w:color w:val="000000"/>
        </w:rPr>
        <w:t>, 11(2), 103–118.</w:t>
      </w:r>
      <w:r w:rsidRPr="00BD11F4">
        <w:rPr>
          <w:rFonts w:ascii="Arial" w:hAnsi="Arial" w:cs="Arial"/>
          <w:color w:val="000000"/>
        </w:rPr>
        <w:tab/>
      </w:r>
    </w:p>
    <w:p w14:paraId="121C5748"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Widodo, S., &amp; Ramli, Z. (2020). </w:t>
      </w:r>
      <w:proofErr w:type="spellStart"/>
      <w:r w:rsidRPr="00BD11F4">
        <w:rPr>
          <w:rFonts w:ascii="Arial" w:hAnsi="Arial" w:cs="Arial"/>
          <w:color w:val="000000"/>
        </w:rPr>
        <w:t>Eksistensi</w:t>
      </w:r>
      <w:proofErr w:type="spellEnd"/>
      <w:r w:rsidRPr="00BD11F4">
        <w:rPr>
          <w:rFonts w:ascii="Arial" w:hAnsi="Arial" w:cs="Arial"/>
          <w:color w:val="000000"/>
        </w:rPr>
        <w:t xml:space="preserve"> Hukum Adat dan </w:t>
      </w:r>
      <w:proofErr w:type="spellStart"/>
      <w:r w:rsidRPr="00BD11F4">
        <w:rPr>
          <w:rFonts w:ascii="Arial" w:hAnsi="Arial" w:cs="Arial"/>
          <w:color w:val="000000"/>
        </w:rPr>
        <w:t>Tantangan</w:t>
      </w:r>
      <w:proofErr w:type="spellEnd"/>
      <w:r w:rsidRPr="00BD11F4">
        <w:rPr>
          <w:rFonts w:ascii="Arial" w:hAnsi="Arial" w:cs="Arial"/>
          <w:color w:val="000000"/>
        </w:rPr>
        <w:t xml:space="preserve"> </w:t>
      </w:r>
      <w:proofErr w:type="spellStart"/>
      <w:r w:rsidRPr="00BD11F4">
        <w:rPr>
          <w:rFonts w:ascii="Arial" w:hAnsi="Arial" w:cs="Arial"/>
          <w:color w:val="000000"/>
        </w:rPr>
        <w:t>Harmonisasinya</w:t>
      </w:r>
      <w:proofErr w:type="spellEnd"/>
      <w:r w:rsidRPr="00BD11F4">
        <w:rPr>
          <w:rFonts w:ascii="Arial" w:hAnsi="Arial" w:cs="Arial"/>
          <w:color w:val="000000"/>
        </w:rPr>
        <w:t xml:space="preserve">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Hukum Nasional.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Legislasi</w:t>
      </w:r>
      <w:proofErr w:type="spellEnd"/>
      <w:r w:rsidRPr="00BD11F4">
        <w:rPr>
          <w:rFonts w:ascii="Arial" w:hAnsi="Arial" w:cs="Arial"/>
          <w:color w:val="000000"/>
        </w:rPr>
        <w:t xml:space="preserve"> Indonesia, 17(2), 67–82.</w:t>
      </w:r>
      <w:r w:rsidRPr="00BD11F4">
        <w:rPr>
          <w:rFonts w:ascii="Arial" w:hAnsi="Arial" w:cs="Arial"/>
          <w:color w:val="000000"/>
        </w:rPr>
        <w:tab/>
      </w:r>
    </w:p>
    <w:p w14:paraId="644D108A"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Wulandari, E. &amp; Hakim, A. (2021). </w:t>
      </w:r>
      <w:proofErr w:type="spellStart"/>
      <w:r w:rsidRPr="00BD11F4">
        <w:rPr>
          <w:rFonts w:ascii="Arial" w:hAnsi="Arial" w:cs="Arial"/>
          <w:color w:val="000000"/>
        </w:rPr>
        <w:t>Analisis</w:t>
      </w:r>
      <w:proofErr w:type="spellEnd"/>
      <w:r w:rsidRPr="00BD11F4">
        <w:rPr>
          <w:rFonts w:ascii="Arial" w:hAnsi="Arial" w:cs="Arial"/>
          <w:color w:val="000000"/>
        </w:rPr>
        <w:t xml:space="preserve"> </w:t>
      </w:r>
      <w:proofErr w:type="spellStart"/>
      <w:r w:rsidRPr="00BD11F4">
        <w:rPr>
          <w:rFonts w:ascii="Arial" w:hAnsi="Arial" w:cs="Arial"/>
          <w:color w:val="000000"/>
        </w:rPr>
        <w:t>Tematik</w:t>
      </w:r>
      <w:proofErr w:type="spellEnd"/>
      <w:r w:rsidRPr="00BD11F4">
        <w:rPr>
          <w:rFonts w:ascii="Arial" w:hAnsi="Arial" w:cs="Arial"/>
          <w:color w:val="000000"/>
        </w:rPr>
        <w:t xml:space="preserve">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Penelitian</w:t>
      </w:r>
      <w:proofErr w:type="spellEnd"/>
      <w:r w:rsidRPr="00BD11F4">
        <w:rPr>
          <w:rFonts w:ascii="Arial" w:hAnsi="Arial" w:cs="Arial"/>
          <w:color w:val="000000"/>
        </w:rPr>
        <w:t xml:space="preserve"> Sosio-Legal: </w:t>
      </w:r>
      <w:proofErr w:type="spellStart"/>
      <w:r w:rsidRPr="00BD11F4">
        <w:rPr>
          <w:rFonts w:ascii="Arial" w:hAnsi="Arial" w:cs="Arial"/>
          <w:color w:val="000000"/>
        </w:rPr>
        <w:t>Pendekatan</w:t>
      </w:r>
      <w:proofErr w:type="spellEnd"/>
      <w:r w:rsidRPr="00BD11F4">
        <w:rPr>
          <w:rFonts w:ascii="Arial" w:hAnsi="Arial" w:cs="Arial"/>
          <w:color w:val="000000"/>
        </w:rPr>
        <w:t xml:space="preserve"> </w:t>
      </w:r>
      <w:proofErr w:type="spellStart"/>
      <w:r w:rsidRPr="00BD11F4">
        <w:rPr>
          <w:rFonts w:ascii="Arial" w:hAnsi="Arial" w:cs="Arial"/>
          <w:color w:val="000000"/>
        </w:rPr>
        <w:t>Naratif</w:t>
      </w:r>
      <w:proofErr w:type="spellEnd"/>
      <w:r w:rsidRPr="00BD11F4">
        <w:rPr>
          <w:rFonts w:ascii="Arial" w:hAnsi="Arial" w:cs="Arial"/>
          <w:color w:val="000000"/>
        </w:rPr>
        <w:t xml:space="preserve"> dan </w:t>
      </w:r>
      <w:proofErr w:type="spellStart"/>
      <w:r w:rsidRPr="00BD11F4">
        <w:rPr>
          <w:rFonts w:ascii="Arial" w:hAnsi="Arial" w:cs="Arial"/>
          <w:color w:val="000000"/>
        </w:rPr>
        <w:t>Kualitatif</w:t>
      </w:r>
      <w:proofErr w:type="spellEnd"/>
      <w:r w:rsidRPr="00BD11F4">
        <w:rPr>
          <w:rFonts w:ascii="Arial" w:hAnsi="Arial" w:cs="Arial"/>
          <w:color w:val="000000"/>
        </w:rPr>
        <w:t xml:space="preserve">. </w:t>
      </w:r>
      <w:proofErr w:type="spellStart"/>
      <w:r w:rsidRPr="00BD11F4">
        <w:rPr>
          <w:rFonts w:ascii="Arial" w:hAnsi="Arial" w:cs="Arial"/>
          <w:color w:val="000000"/>
        </w:rPr>
        <w:t>Jurnal</w:t>
      </w:r>
      <w:proofErr w:type="spellEnd"/>
      <w:r w:rsidRPr="00BD11F4">
        <w:rPr>
          <w:rFonts w:ascii="Arial" w:hAnsi="Arial" w:cs="Arial"/>
          <w:color w:val="000000"/>
        </w:rPr>
        <w:t xml:space="preserve"> Hukum dan Pembangunan </w:t>
      </w:r>
      <w:proofErr w:type="spellStart"/>
      <w:r w:rsidRPr="00BD11F4">
        <w:rPr>
          <w:rFonts w:ascii="Arial" w:hAnsi="Arial" w:cs="Arial"/>
          <w:color w:val="000000"/>
        </w:rPr>
        <w:t>Sosial</w:t>
      </w:r>
      <w:proofErr w:type="spellEnd"/>
      <w:r w:rsidRPr="00BD11F4">
        <w:rPr>
          <w:rFonts w:ascii="Arial" w:hAnsi="Arial" w:cs="Arial"/>
          <w:color w:val="000000"/>
        </w:rPr>
        <w:t>, 16(3), 203–219.</w:t>
      </w:r>
      <w:r w:rsidRPr="00BD11F4">
        <w:rPr>
          <w:rFonts w:ascii="Arial" w:hAnsi="Arial" w:cs="Arial"/>
          <w:color w:val="000000"/>
        </w:rPr>
        <w:tab/>
      </w:r>
    </w:p>
    <w:p w14:paraId="7B805E7D"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Yuliani, S., &amp; Hasan, M. (2021). </w:t>
      </w:r>
      <w:proofErr w:type="spellStart"/>
      <w:r w:rsidRPr="00BD11F4">
        <w:rPr>
          <w:rFonts w:ascii="Arial" w:hAnsi="Arial" w:cs="Arial"/>
          <w:color w:val="000000"/>
        </w:rPr>
        <w:t>Pembaruan</w:t>
      </w:r>
      <w:proofErr w:type="spellEnd"/>
      <w:r w:rsidRPr="00BD11F4">
        <w:rPr>
          <w:rFonts w:ascii="Arial" w:hAnsi="Arial" w:cs="Arial"/>
          <w:color w:val="000000"/>
        </w:rPr>
        <w:t xml:space="preserve"> </w:t>
      </w:r>
      <w:proofErr w:type="spellStart"/>
      <w:r w:rsidRPr="00BD11F4">
        <w:rPr>
          <w:rFonts w:ascii="Arial" w:hAnsi="Arial" w:cs="Arial"/>
          <w:color w:val="000000"/>
        </w:rPr>
        <w:t>Sistem</w:t>
      </w:r>
      <w:proofErr w:type="spellEnd"/>
      <w:r w:rsidRPr="00BD11F4">
        <w:rPr>
          <w:rFonts w:ascii="Arial" w:hAnsi="Arial" w:cs="Arial"/>
          <w:color w:val="000000"/>
        </w:rPr>
        <w:t xml:space="preserve"> </w:t>
      </w:r>
      <w:proofErr w:type="spellStart"/>
      <w:r w:rsidRPr="00BD11F4">
        <w:rPr>
          <w:rFonts w:ascii="Arial" w:hAnsi="Arial" w:cs="Arial"/>
          <w:color w:val="000000"/>
        </w:rPr>
        <w:t>Perundang-Undangan</w:t>
      </w:r>
      <w:proofErr w:type="spellEnd"/>
      <w:r w:rsidRPr="00BD11F4">
        <w:rPr>
          <w:rFonts w:ascii="Arial" w:hAnsi="Arial" w:cs="Arial"/>
          <w:color w:val="000000"/>
        </w:rPr>
        <w:t xml:space="preserve"> </w:t>
      </w:r>
      <w:proofErr w:type="spellStart"/>
      <w:r w:rsidRPr="00BD11F4">
        <w:rPr>
          <w:rFonts w:ascii="Arial" w:hAnsi="Arial" w:cs="Arial"/>
          <w:color w:val="000000"/>
        </w:rPr>
        <w:t>dalam</w:t>
      </w:r>
      <w:proofErr w:type="spellEnd"/>
      <w:r w:rsidRPr="00BD11F4">
        <w:rPr>
          <w:rFonts w:ascii="Arial" w:hAnsi="Arial" w:cs="Arial"/>
          <w:color w:val="000000"/>
        </w:rPr>
        <w:t xml:space="preserve"> </w:t>
      </w:r>
      <w:proofErr w:type="spellStart"/>
      <w:r w:rsidRPr="00BD11F4">
        <w:rPr>
          <w:rFonts w:ascii="Arial" w:hAnsi="Arial" w:cs="Arial"/>
          <w:color w:val="000000"/>
        </w:rPr>
        <w:t>Konteks</w:t>
      </w:r>
      <w:proofErr w:type="spellEnd"/>
      <w:r w:rsidRPr="00BD11F4">
        <w:rPr>
          <w:rFonts w:ascii="Arial" w:hAnsi="Arial" w:cs="Arial"/>
          <w:color w:val="000000"/>
        </w:rPr>
        <w:t xml:space="preserve"> Reformasi Hukum Nasional.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Ilmu</w:t>
      </w:r>
      <w:proofErr w:type="spellEnd"/>
      <w:r w:rsidRPr="00BD11F4">
        <w:rPr>
          <w:rFonts w:ascii="Arial" w:hAnsi="Arial" w:cs="Arial"/>
          <w:color w:val="000000"/>
        </w:rPr>
        <w:t xml:space="preserve"> Hukum Indonesia, 19(3), 89–102.</w:t>
      </w:r>
      <w:r w:rsidRPr="00BD11F4">
        <w:rPr>
          <w:rFonts w:ascii="Arial" w:hAnsi="Arial" w:cs="Arial"/>
          <w:color w:val="000000"/>
        </w:rPr>
        <w:tab/>
      </w:r>
    </w:p>
    <w:p w14:paraId="06B5D1E2" w14:textId="77777777" w:rsidR="00BD11F4" w:rsidRPr="00BD11F4"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 xml:space="preserve">Yunus, M. &amp; </w:t>
      </w:r>
      <w:proofErr w:type="spellStart"/>
      <w:r w:rsidRPr="00BD11F4">
        <w:rPr>
          <w:rFonts w:ascii="Arial" w:hAnsi="Arial" w:cs="Arial"/>
          <w:color w:val="000000"/>
        </w:rPr>
        <w:t>Priyanto</w:t>
      </w:r>
      <w:proofErr w:type="spellEnd"/>
      <w:r w:rsidRPr="00BD11F4">
        <w:rPr>
          <w:rFonts w:ascii="Arial" w:hAnsi="Arial" w:cs="Arial"/>
          <w:color w:val="000000"/>
        </w:rPr>
        <w:t xml:space="preserve">, A. (2020). </w:t>
      </w:r>
      <w:proofErr w:type="spellStart"/>
      <w:r w:rsidRPr="00BD11F4">
        <w:rPr>
          <w:rFonts w:ascii="Arial" w:hAnsi="Arial" w:cs="Arial"/>
          <w:color w:val="000000"/>
        </w:rPr>
        <w:t>Harmonisasi</w:t>
      </w:r>
      <w:proofErr w:type="spellEnd"/>
      <w:r w:rsidRPr="00BD11F4">
        <w:rPr>
          <w:rFonts w:ascii="Arial" w:hAnsi="Arial" w:cs="Arial"/>
          <w:color w:val="000000"/>
        </w:rPr>
        <w:t xml:space="preserve"> Hukum Nasional dan Hukum Lokal di Indonesia. </w:t>
      </w:r>
      <w:proofErr w:type="spellStart"/>
      <w:r w:rsidRPr="00BD11F4">
        <w:rPr>
          <w:rFonts w:ascii="Arial" w:hAnsi="Arial" w:cs="Arial"/>
          <w:color w:val="000000"/>
        </w:rPr>
        <w:t>Jurnal</w:t>
      </w:r>
      <w:proofErr w:type="spellEnd"/>
      <w:r w:rsidRPr="00BD11F4">
        <w:rPr>
          <w:rFonts w:ascii="Arial" w:hAnsi="Arial" w:cs="Arial"/>
          <w:color w:val="000000"/>
        </w:rPr>
        <w:t xml:space="preserve"> </w:t>
      </w:r>
      <w:proofErr w:type="spellStart"/>
      <w:r w:rsidRPr="00BD11F4">
        <w:rPr>
          <w:rFonts w:ascii="Arial" w:hAnsi="Arial" w:cs="Arial"/>
          <w:color w:val="000000"/>
        </w:rPr>
        <w:t>Legislasi</w:t>
      </w:r>
      <w:proofErr w:type="spellEnd"/>
      <w:r w:rsidRPr="00BD11F4">
        <w:rPr>
          <w:rFonts w:ascii="Arial" w:hAnsi="Arial" w:cs="Arial"/>
          <w:color w:val="000000"/>
        </w:rPr>
        <w:t xml:space="preserve"> Indonesia, 17(3), 88–102.</w:t>
      </w:r>
      <w:r w:rsidRPr="00BD11F4">
        <w:rPr>
          <w:rFonts w:ascii="Arial" w:hAnsi="Arial" w:cs="Arial"/>
          <w:color w:val="000000"/>
        </w:rPr>
        <w:tab/>
      </w:r>
    </w:p>
    <w:p w14:paraId="04E81F7F" w14:textId="084170F2" w:rsidR="00180E5E" w:rsidRPr="00D91B4E" w:rsidRDefault="00BD11F4" w:rsidP="00BD11F4">
      <w:pPr>
        <w:widowControl w:val="0"/>
        <w:autoSpaceDE w:val="0"/>
        <w:autoSpaceDN w:val="0"/>
        <w:adjustRightInd w:val="0"/>
        <w:ind w:left="709" w:hanging="709"/>
        <w:jc w:val="both"/>
        <w:rPr>
          <w:rFonts w:ascii="Arial" w:hAnsi="Arial" w:cs="Arial"/>
          <w:color w:val="000000"/>
        </w:rPr>
      </w:pPr>
      <w:r w:rsidRPr="00BD11F4">
        <w:rPr>
          <w:rFonts w:ascii="Arial" w:hAnsi="Arial" w:cs="Arial"/>
          <w:color w:val="000000"/>
        </w:rPr>
        <w:t>Zakaria, N., &amp; Ibrahim, S. (2020). The Relationship between Civil and Syariah Courts in Malaysia: Jurisdiction and Legal Pluralism. Asian Journal of Law and Society, 7(2), 341–357.</w:t>
      </w:r>
      <w:r w:rsidRPr="00BD11F4">
        <w:rPr>
          <w:rFonts w:ascii="Arial" w:hAnsi="Arial" w:cs="Arial"/>
          <w:color w:val="000000"/>
        </w:rPr>
        <w:tab/>
      </w:r>
    </w:p>
    <w:sectPr w:rsidR="00180E5E" w:rsidRPr="00D91B4E" w:rsidSect="00FF0C10">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418" w:left="1701" w:header="624" w:footer="624"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CF33" w14:textId="77777777" w:rsidR="00955617" w:rsidRDefault="00955617">
      <w:r>
        <w:separator/>
      </w:r>
    </w:p>
  </w:endnote>
  <w:endnote w:type="continuationSeparator" w:id="0">
    <w:p w14:paraId="25A915FE" w14:textId="77777777" w:rsidR="00955617" w:rsidRDefault="0095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89DA" w14:textId="04A4C416" w:rsidR="00097958" w:rsidRPr="008D6AE6" w:rsidRDefault="003E62F5" w:rsidP="00C07BEF">
    <w:pPr>
      <w:pStyle w:val="Header"/>
      <w:tabs>
        <w:tab w:val="clear" w:pos="4320"/>
        <w:tab w:val="clear" w:pos="8640"/>
        <w:tab w:val="left" w:pos="2992"/>
      </w:tabs>
      <w:spacing w:before="240"/>
      <w:rPr>
        <w:rFonts w:ascii="Tw Cen MT" w:hAnsi="Tw Cen MT"/>
      </w:rPr>
    </w:pPr>
    <w:r>
      <w:rPr>
        <w:noProof/>
      </w:rPr>
      <mc:AlternateContent>
        <mc:Choice Requires="wps">
          <w:drawing>
            <wp:anchor distT="4294967295" distB="4294967295" distL="114300" distR="114300" simplePos="0" relativeHeight="251658240" behindDoc="0" locked="0" layoutInCell="1" allowOverlap="1" wp14:anchorId="0B9A5AA7" wp14:editId="6E9D857A">
              <wp:simplePos x="0" y="0"/>
              <wp:positionH relativeFrom="column">
                <wp:posOffset>-12065</wp:posOffset>
              </wp:positionH>
              <wp:positionV relativeFrom="paragraph">
                <wp:posOffset>145414</wp:posOffset>
              </wp:positionV>
              <wp:extent cx="5580380" cy="0"/>
              <wp:effectExtent l="0" t="0" r="0" b="0"/>
              <wp:wrapNone/>
              <wp:docPr id="13533977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E1AE1"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HsAEAAEgDAAAOAAAAZHJzL2Uyb0RvYy54bWysU8Fu2zAMvQ/YPwi6L3YyZ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"/>
          </w:pict>
        </mc:Fallback>
      </mc:AlternateContent>
    </w:r>
    <w:proofErr w:type="spellStart"/>
    <w:r w:rsidR="006D59A9" w:rsidRPr="006D59A9">
      <w:rPr>
        <w:rFonts w:ascii="Tw Cen MT" w:hAnsi="Tw Cen MT"/>
      </w:rPr>
      <w:t>JurisSpectrum</w:t>
    </w:r>
    <w:proofErr w:type="spellEnd"/>
    <w:r w:rsidR="00C15B85" w:rsidRPr="008D6AE6">
      <w:rPr>
        <w:rFonts w:ascii="Tw Cen MT" w:hAnsi="Tw Cen MT"/>
        <w:noProof/>
        <w:lang w:val="en-GB" w:eastAsia="en-GB"/>
      </w:rPr>
      <w:t xml:space="preserve">, </w:t>
    </w:r>
    <w:r w:rsidR="00E52B33" w:rsidRPr="008D6AE6">
      <w:rPr>
        <w:rStyle w:val="PageNumber"/>
        <w:rFonts w:ascii="Tw Cen MT" w:hAnsi="Tw Cen MT"/>
      </w:rPr>
      <w:t xml:space="preserve">Vol. </w:t>
    </w:r>
    <w:r w:rsidR="00FF0C10">
      <w:rPr>
        <w:rStyle w:val="PageNumber"/>
        <w:rFonts w:ascii="Tw Cen MT" w:hAnsi="Tw Cen MT"/>
      </w:rPr>
      <w:t>1</w:t>
    </w:r>
    <w:r w:rsidR="00E52B33" w:rsidRPr="008D6AE6">
      <w:rPr>
        <w:rStyle w:val="PageNumber"/>
        <w:rFonts w:ascii="Tw Cen MT" w:hAnsi="Tw Cen MT"/>
      </w:rPr>
      <w:t xml:space="preserve"> No. </w:t>
    </w:r>
    <w:r w:rsidR="00FF0C10">
      <w:rPr>
        <w:rStyle w:val="PageNumber"/>
        <w:rFonts w:ascii="Tw Cen MT" w:hAnsi="Tw Cen MT"/>
      </w:rPr>
      <w:t>2</w:t>
    </w:r>
    <w:r w:rsidR="00E52B33" w:rsidRPr="008D6AE6">
      <w:rPr>
        <w:rStyle w:val="PageNumber"/>
        <w:rFonts w:ascii="Tw Cen MT" w:hAnsi="Tw Cen MT"/>
      </w:rPr>
      <w:t xml:space="preserve">, </w:t>
    </w:r>
    <w:r w:rsidR="00FF0C10">
      <w:rPr>
        <w:rStyle w:val="PageNumber"/>
        <w:rFonts w:ascii="Tw Cen MT" w:hAnsi="Tw Cen MT"/>
      </w:rPr>
      <w:t>June</w:t>
    </w:r>
    <w:r w:rsidR="002F46D0" w:rsidRPr="002F46D0">
      <w:rPr>
        <w:rStyle w:val="PageNumber"/>
        <w:rFonts w:ascii="Tw Cen MT" w:hAnsi="Tw Cen MT"/>
      </w:rPr>
      <w:t xml:space="preserve"> </w:t>
    </w:r>
    <w:r w:rsidR="00E52B33" w:rsidRPr="008D6AE6">
      <w:rPr>
        <w:rStyle w:val="PageNumber"/>
        <w:rFonts w:ascii="Tw Cen MT" w:hAnsi="Tw Cen MT"/>
      </w:rPr>
      <w:t>(20</w:t>
    </w:r>
    <w:r w:rsidR="00FF0C10">
      <w:rPr>
        <w:rStyle w:val="PageNumber"/>
        <w:rFonts w:ascii="Tw Cen MT" w:hAnsi="Tw Cen MT"/>
      </w:rPr>
      <w:t>25</w:t>
    </w:r>
    <w:r w:rsidR="00E52B33" w:rsidRPr="008D6AE6">
      <w:rPr>
        <w:rStyle w:val="PageNumber"/>
        <w:rFonts w:ascii="Tw Cen MT" w:hAnsi="Tw Cen MT"/>
      </w:rPr>
      <w:t xml:space="preserve">): pp. </w:t>
    </w:r>
    <w:r w:rsidR="00FF0C10">
      <w:rPr>
        <w:rStyle w:val="PageNumber"/>
        <w:rFonts w:ascii="Tw Cen MT" w:hAnsi="Tw Cen MT"/>
      </w:rPr>
      <w:t>69</w:t>
    </w:r>
    <w:r w:rsidR="00E52B33" w:rsidRPr="008D6AE6">
      <w:rPr>
        <w:rStyle w:val="PageNumber"/>
        <w:rFonts w:ascii="Tw Cen MT" w:hAnsi="Tw Cen MT"/>
      </w:rPr>
      <w:t>-</w:t>
    </w:r>
    <w:r w:rsidR="00FF0C10">
      <w:rPr>
        <w:rStyle w:val="PageNumber"/>
        <w:rFonts w:ascii="Tw Cen MT" w:hAnsi="Tw Cen MT"/>
      </w:rPr>
      <w:t>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F508" w14:textId="77FFCD92" w:rsidR="00097958" w:rsidRPr="00FF0C10" w:rsidRDefault="00FF0C10" w:rsidP="00FF0C10">
    <w:pPr>
      <w:pStyle w:val="Footer"/>
      <w:pBdr>
        <w:top w:val="single" w:sz="4" w:space="1" w:color="auto"/>
      </w:pBdr>
      <w:jc w:val="right"/>
      <w:rPr>
        <w:rFonts w:ascii="Arial" w:hAnsi="Arial" w:cs="Arial"/>
        <w:i/>
        <w:sz w:val="18"/>
        <w:szCs w:val="18"/>
      </w:rPr>
    </w:pPr>
    <w:r w:rsidRPr="00FF0C10">
      <w:rPr>
        <w:rFonts w:ascii="Arial" w:hAnsi="Arial" w:cs="Arial"/>
        <w:i/>
        <w:sz w:val="18"/>
        <w:szCs w:val="18"/>
      </w:rPr>
      <w:t xml:space="preserve">Zulfikar, Integrasi </w:t>
    </w:r>
    <w:proofErr w:type="spellStart"/>
    <w:r w:rsidRPr="00FF0C10">
      <w:rPr>
        <w:rFonts w:ascii="Arial" w:hAnsi="Arial" w:cs="Arial"/>
        <w:i/>
        <w:sz w:val="18"/>
        <w:szCs w:val="18"/>
      </w:rPr>
      <w:t>Sistem</w:t>
    </w:r>
    <w:proofErr w:type="spellEnd"/>
    <w:r w:rsidRPr="00FF0C10">
      <w:rPr>
        <w:rFonts w:ascii="Arial" w:hAnsi="Arial" w:cs="Arial"/>
        <w:i/>
        <w:sz w:val="18"/>
        <w:szCs w:val="18"/>
      </w:rPr>
      <w:t xml:space="preserve"> Hukum di Negara </w:t>
    </w:r>
    <w:proofErr w:type="spellStart"/>
    <w:r w:rsidRPr="00FF0C10">
      <w:rPr>
        <w:rFonts w:ascii="Arial" w:hAnsi="Arial" w:cs="Arial"/>
        <w:i/>
        <w:sz w:val="18"/>
        <w:szCs w:val="18"/>
      </w:rPr>
      <w:t>Multikultural</w:t>
    </w:r>
    <w:proofErr w:type="spellEnd"/>
    <w:r w:rsidRPr="00FF0C10">
      <w:rPr>
        <w:rFonts w:ascii="Arial" w:hAnsi="Arial" w:cs="Arial"/>
        <w:i/>
        <w:sz w:val="18"/>
        <w:szCs w:val="18"/>
      </w:rPr>
      <w:t xml:space="preserve">: Studi </w:t>
    </w:r>
    <w:proofErr w:type="spellStart"/>
    <w:r w:rsidRPr="00FF0C10">
      <w:rPr>
        <w:rFonts w:ascii="Arial" w:hAnsi="Arial" w:cs="Arial"/>
        <w:i/>
        <w:sz w:val="18"/>
        <w:szCs w:val="18"/>
      </w:rPr>
      <w:t>Literatur</w:t>
    </w:r>
    <w:proofErr w:type="spellEnd"/>
    <w:r w:rsidRPr="00FF0C10">
      <w:rPr>
        <w:rFonts w:ascii="Arial" w:hAnsi="Arial" w:cs="Arial"/>
        <w:i/>
        <w:sz w:val="18"/>
        <w:szCs w:val="18"/>
      </w:rPr>
      <w:t xml:space="preserve"> </w:t>
    </w:r>
    <w:proofErr w:type="spellStart"/>
    <w:r w:rsidRPr="00FF0C10">
      <w:rPr>
        <w:rFonts w:ascii="Arial" w:hAnsi="Arial" w:cs="Arial"/>
        <w:i/>
        <w:sz w:val="18"/>
        <w:szCs w:val="18"/>
      </w:rPr>
      <w:t>tentang</w:t>
    </w:r>
    <w:proofErr w:type="spellEnd"/>
    <w:r w:rsidRPr="00FF0C10">
      <w:rPr>
        <w:rFonts w:ascii="Arial" w:hAnsi="Arial" w:cs="Arial"/>
        <w:i/>
        <w:sz w:val="18"/>
        <w:szCs w:val="18"/>
      </w:rPr>
      <w:t xml:space="preserve"> Hukum Adat, Islam, dan Negara di Indonesia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E33E" w14:textId="6012BBDD" w:rsidR="00097958" w:rsidRPr="00262C8D" w:rsidRDefault="00C854C1" w:rsidP="00C07BEF">
    <w:pPr>
      <w:pStyle w:val="Footer"/>
      <w:pBdr>
        <w:top w:val="single" w:sz="4" w:space="1" w:color="auto"/>
      </w:pBdr>
      <w:spacing w:before="240"/>
      <w:rPr>
        <w:rFonts w:ascii="Arial" w:hAnsi="Arial" w:cs="Arial"/>
        <w:bCs/>
        <w:iCs/>
        <w:sz w:val="16"/>
        <w:szCs w:val="16"/>
      </w:rPr>
    </w:pPr>
    <w:r w:rsidRPr="00262C8D">
      <w:rPr>
        <w:rFonts w:ascii="Arial" w:hAnsi="Arial" w:cs="Arial"/>
        <w:bCs/>
        <w:iCs/>
        <w:sz w:val="16"/>
        <w:szCs w:val="16"/>
      </w:rPr>
      <w:t xml:space="preserve">Journal homepage: </w:t>
    </w:r>
    <w:r w:rsidR="006D59A9" w:rsidRPr="006D59A9">
      <w:rPr>
        <w:rFonts w:ascii="Arial" w:hAnsi="Arial" w:cs="Arial"/>
        <w:bCs/>
        <w:iCs/>
        <w:sz w:val="16"/>
        <w:szCs w:val="16"/>
      </w:rPr>
      <w:t>https://win.joninstitute.org/index.php/JurisSpectrum/index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8221" w14:textId="77777777" w:rsidR="00955617" w:rsidRDefault="00955617">
      <w:r>
        <w:separator/>
      </w:r>
    </w:p>
  </w:footnote>
  <w:footnote w:type="continuationSeparator" w:id="0">
    <w:p w14:paraId="72B19FBE" w14:textId="77777777" w:rsidR="00955617" w:rsidRDefault="0095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3B5" w14:textId="77777777" w:rsidR="00097958" w:rsidRPr="0014656D" w:rsidRDefault="00C3666D" w:rsidP="008B04B3">
    <w:pPr>
      <w:pStyle w:val="Header"/>
      <w:framePr w:wrap="around" w:vAnchor="text" w:hAnchor="margin" w:xAlign="outside" w:y="1"/>
      <w:rPr>
        <w:rStyle w:val="PageNumber"/>
        <w:rFonts w:ascii="Tw Cen MT" w:hAnsi="Tw Cen MT"/>
      </w:rPr>
    </w:pPr>
    <w:r w:rsidRPr="0014656D">
      <w:rPr>
        <w:rStyle w:val="PageNumber"/>
        <w:rFonts w:ascii="Tw Cen MT" w:hAnsi="Tw Cen MT"/>
      </w:rPr>
      <w:fldChar w:fldCharType="begin"/>
    </w:r>
    <w:r w:rsidR="00097958" w:rsidRPr="0014656D">
      <w:rPr>
        <w:rStyle w:val="PageNumber"/>
        <w:rFonts w:ascii="Tw Cen MT" w:hAnsi="Tw Cen MT"/>
      </w:rPr>
      <w:instrText xml:space="preserve">PAGE  </w:instrText>
    </w:r>
    <w:r w:rsidRPr="0014656D">
      <w:rPr>
        <w:rStyle w:val="PageNumber"/>
        <w:rFonts w:ascii="Tw Cen MT" w:hAnsi="Tw Cen MT"/>
      </w:rPr>
      <w:fldChar w:fldCharType="separate"/>
    </w:r>
    <w:r w:rsidR="00F35ADB" w:rsidRPr="0014656D">
      <w:rPr>
        <w:rStyle w:val="PageNumber"/>
        <w:rFonts w:ascii="Tw Cen MT" w:hAnsi="Tw Cen MT"/>
        <w:noProof/>
      </w:rPr>
      <w:t>102</w:t>
    </w:r>
    <w:r w:rsidRPr="0014656D">
      <w:rPr>
        <w:rStyle w:val="PageNumber"/>
        <w:rFonts w:ascii="Tw Cen MT" w:hAnsi="Tw Cen MT"/>
      </w:rPr>
      <w:fldChar w:fldCharType="end"/>
    </w:r>
  </w:p>
  <w:p w14:paraId="420A1666" w14:textId="0C50E855" w:rsidR="00097958" w:rsidRPr="0014656D" w:rsidRDefault="003E62F5" w:rsidP="00C07BEF">
    <w:pPr>
      <w:pStyle w:val="Header"/>
      <w:tabs>
        <w:tab w:val="clear" w:pos="4320"/>
        <w:tab w:val="clear" w:pos="8640"/>
        <w:tab w:val="right" w:pos="851"/>
        <w:tab w:val="left" w:pos="3405"/>
        <w:tab w:val="right" w:pos="8789"/>
      </w:tabs>
      <w:spacing w:after="240"/>
      <w:rPr>
        <w:rFonts w:ascii="Tw Cen MT" w:hAnsi="Tw Cen MT"/>
      </w:rPr>
    </w:pPr>
    <w:r>
      <w:rPr>
        <w:noProof/>
      </w:rPr>
      <mc:AlternateContent>
        <mc:Choice Requires="wps">
          <w:drawing>
            <wp:anchor distT="4294967295" distB="4294967295" distL="114300" distR="114300" simplePos="0" relativeHeight="251657216" behindDoc="0" locked="0" layoutInCell="1" allowOverlap="1" wp14:anchorId="4A8280F7" wp14:editId="14F23C49">
              <wp:simplePos x="0" y="0"/>
              <wp:positionH relativeFrom="column">
                <wp:posOffset>23495</wp:posOffset>
              </wp:positionH>
              <wp:positionV relativeFrom="paragraph">
                <wp:posOffset>182879</wp:posOffset>
              </wp:positionV>
              <wp:extent cx="5544820" cy="0"/>
              <wp:effectExtent l="0" t="0" r="0" b="0"/>
              <wp:wrapNone/>
              <wp:docPr id="9674023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B6D468"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rsidR="00E5155C" w:rsidRPr="0014656D">
      <w:rPr>
        <w:rFonts w:ascii="Tw Cen MT" w:hAnsi="Tw Cen MT"/>
      </w:rPr>
      <w:t xml:space="preserve">     </w:t>
    </w:r>
    <w:r w:rsidR="00E5155C" w:rsidRPr="0014656D">
      <w:rPr>
        <w:rFonts w:ascii="Tw Cen MT" w:hAnsi="Tw Cen MT"/>
      </w:rPr>
      <w:tab/>
    </w:r>
    <w:r w:rsidR="00C854C1" w:rsidRPr="0014656D">
      <w:rPr>
        <w:rFonts w:ascii="Tw Cen MT" w:hAnsi="Tw Cen MT"/>
      </w:rPr>
      <w:sym w:font="Wingdings" w:char="F072"/>
    </w:r>
    <w:r w:rsidR="00097958" w:rsidRPr="0014656D">
      <w:rPr>
        <w:rFonts w:ascii="Tw Cen MT" w:hAnsi="Tw Cen MT"/>
      </w:rPr>
      <w:t xml:space="preserve"> </w:t>
    </w:r>
    <w:r w:rsidR="00097958" w:rsidRPr="0014656D">
      <w:rPr>
        <w:rFonts w:ascii="Tw Cen MT" w:hAnsi="Tw Cen MT"/>
      </w:rPr>
      <w:tab/>
    </w:r>
    <w:r w:rsidR="003D5B84" w:rsidRPr="0014656D">
      <w:rPr>
        <w:rFonts w:ascii="Tw Cen MT" w:hAnsi="Tw Cen MT"/>
      </w:rPr>
      <w:tab/>
    </w:r>
    <w:r w:rsidR="00AA0BA4">
      <w:rPr>
        <w:rFonts w:ascii="Tw Cen MT" w:hAnsi="Tw Cen MT"/>
      </w:rPr>
      <w:t xml:space="preserve">ISSN </w:t>
    </w:r>
    <w:r w:rsidR="00FF0C10" w:rsidRPr="00FF0C10">
      <w:rPr>
        <w:rFonts w:ascii="Tw Cen MT" w:hAnsi="Tw Cen MT"/>
      </w:rPr>
      <w:t xml:space="preserve">3090-6520 </w:t>
    </w:r>
    <w:r w:rsidR="00AA0BA4" w:rsidRPr="00AA0BA4">
      <w:rPr>
        <w:rFonts w:ascii="Tw Cen MT" w:hAnsi="Tw Cen MT"/>
      </w:rPr>
      <w:t>(online)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A24" w14:textId="77777777" w:rsidR="00097958" w:rsidRPr="004872F8" w:rsidRDefault="00C3666D" w:rsidP="00F173DD">
    <w:pPr>
      <w:pStyle w:val="Header"/>
      <w:framePr w:wrap="around" w:vAnchor="text" w:hAnchor="margin" w:xAlign="outside" w:y="1"/>
      <w:rPr>
        <w:rStyle w:val="PageNumber"/>
        <w:rFonts w:ascii="Tw Cen MT" w:hAnsi="Tw Cen MT"/>
      </w:rPr>
    </w:pPr>
    <w:r w:rsidRPr="004872F8">
      <w:rPr>
        <w:rStyle w:val="PageNumber"/>
        <w:rFonts w:ascii="Tw Cen MT" w:hAnsi="Tw Cen MT"/>
      </w:rPr>
      <w:fldChar w:fldCharType="begin"/>
    </w:r>
    <w:r w:rsidR="00097958" w:rsidRPr="004872F8">
      <w:rPr>
        <w:rStyle w:val="PageNumber"/>
        <w:rFonts w:ascii="Tw Cen MT" w:hAnsi="Tw Cen MT"/>
      </w:rPr>
      <w:instrText xml:space="preserve">PAGE  </w:instrText>
    </w:r>
    <w:r w:rsidRPr="004872F8">
      <w:rPr>
        <w:rStyle w:val="PageNumber"/>
        <w:rFonts w:ascii="Tw Cen MT" w:hAnsi="Tw Cen MT"/>
      </w:rPr>
      <w:fldChar w:fldCharType="separate"/>
    </w:r>
    <w:r w:rsidR="00F35ADB" w:rsidRPr="004872F8">
      <w:rPr>
        <w:rStyle w:val="PageNumber"/>
        <w:rFonts w:ascii="Tw Cen MT" w:hAnsi="Tw Cen MT"/>
        <w:noProof/>
      </w:rPr>
      <w:t>103</w:t>
    </w:r>
    <w:r w:rsidRPr="004872F8">
      <w:rPr>
        <w:rStyle w:val="PageNumber"/>
        <w:rFonts w:ascii="Tw Cen MT" w:hAnsi="Tw Cen MT"/>
      </w:rPr>
      <w:fldChar w:fldCharType="end"/>
    </w:r>
  </w:p>
  <w:p w14:paraId="2A69FD5B" w14:textId="6219C81B" w:rsidR="00097958" w:rsidRPr="004872F8" w:rsidRDefault="006D59A9" w:rsidP="00C07BEF">
    <w:pPr>
      <w:pStyle w:val="Header"/>
      <w:pBdr>
        <w:bottom w:val="single" w:sz="4" w:space="1" w:color="auto"/>
      </w:pBdr>
      <w:tabs>
        <w:tab w:val="clear" w:pos="4320"/>
        <w:tab w:val="clear" w:pos="8640"/>
        <w:tab w:val="left" w:pos="0"/>
        <w:tab w:val="center" w:pos="4301"/>
        <w:tab w:val="left" w:pos="7938"/>
      </w:tabs>
      <w:rPr>
        <w:rFonts w:ascii="Tw Cen MT" w:hAnsi="Tw Cen MT"/>
      </w:rPr>
    </w:pPr>
    <w:proofErr w:type="spellStart"/>
    <w:r w:rsidRPr="006D59A9">
      <w:rPr>
        <w:rFonts w:ascii="Tw Cen MT" w:hAnsi="Tw Cen MT"/>
      </w:rPr>
      <w:t>JurisSpectrum</w:t>
    </w:r>
    <w:proofErr w:type="spellEnd"/>
    <w:r w:rsidR="00097958" w:rsidRPr="004872F8">
      <w:rPr>
        <w:rFonts w:ascii="Tw Cen MT" w:hAnsi="Tw Cen MT"/>
      </w:rPr>
      <w:tab/>
    </w:r>
    <w:r w:rsidR="00AA0BA4">
      <w:rPr>
        <w:rFonts w:ascii="Tw Cen MT" w:hAnsi="Tw Cen MT"/>
      </w:rPr>
      <w:t xml:space="preserve">ISSN </w:t>
    </w:r>
    <w:r w:rsidR="00FF0C10" w:rsidRPr="00FF0C10">
      <w:rPr>
        <w:rFonts w:ascii="Tw Cen MT" w:hAnsi="Tw Cen MT"/>
      </w:rPr>
      <w:t xml:space="preserve">3090-6520 </w:t>
    </w:r>
    <w:r w:rsidR="00AA0BA4" w:rsidRPr="00AA0BA4">
      <w:rPr>
        <w:rFonts w:ascii="Tw Cen MT" w:hAnsi="Tw Cen MT"/>
      </w:rPr>
      <w:t>(online)</w:t>
    </w:r>
    <w:r w:rsidR="00EF1185" w:rsidRPr="004872F8">
      <w:rPr>
        <w:rFonts w:ascii="Tw Cen MT" w:hAnsi="Tw Cen MT"/>
      </w:rPr>
      <w:tab/>
    </w:r>
    <w:r w:rsidR="00C854C1" w:rsidRPr="004872F8">
      <w:rPr>
        <w:rFonts w:ascii="Tw Cen MT" w:hAnsi="Tw Cen MT"/>
      </w:rPr>
      <w:sym w:font="Wingdings" w:char="F072"/>
    </w:r>
  </w:p>
  <w:p w14:paraId="3F296393" w14:textId="77777777" w:rsidR="00097958" w:rsidRPr="004872F8" w:rsidRDefault="00097958" w:rsidP="0094367D">
    <w:pPr>
      <w:pStyle w:val="Header"/>
      <w:ind w:right="360" w:firstLine="360"/>
      <w:rPr>
        <w:rFonts w:ascii="Tw Cen MT" w:hAnsi="Tw Cen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96EB" w14:textId="3ED57247" w:rsidR="006807DE" w:rsidRPr="007472E6" w:rsidRDefault="006D59A9" w:rsidP="006807DE">
    <w:pPr>
      <w:pStyle w:val="Header"/>
      <w:tabs>
        <w:tab w:val="clear" w:pos="4320"/>
      </w:tabs>
      <w:rPr>
        <w:rStyle w:val="PageNumber"/>
        <w:rFonts w:ascii="Constantia" w:hAnsi="Constantia"/>
      </w:rPr>
    </w:pPr>
    <w:bookmarkStart w:id="0" w:name="_Hlk137758026"/>
    <w:bookmarkStart w:id="1" w:name="_Hlk137758027"/>
    <w:proofErr w:type="spellStart"/>
    <w:r w:rsidRPr="006D59A9">
      <w:rPr>
        <w:rStyle w:val="PageNumber"/>
        <w:rFonts w:ascii="Constantia" w:hAnsi="Constantia"/>
      </w:rPr>
      <w:t>JurisSpectrum</w:t>
    </w:r>
    <w:proofErr w:type="spellEnd"/>
    <w:r w:rsidRPr="006D59A9">
      <w:rPr>
        <w:rStyle w:val="PageNumber"/>
        <w:rFonts w:ascii="Constantia" w:hAnsi="Constantia"/>
      </w:rPr>
      <w:t>: Journal of Law &amp; Society</w:t>
    </w:r>
    <w:r w:rsidR="006807DE" w:rsidRPr="007472E6">
      <w:rPr>
        <w:rStyle w:val="PageNumber"/>
        <w:rFonts w:ascii="Constantia" w:hAnsi="Constantia"/>
      </w:rPr>
      <w:tab/>
    </w:r>
    <w:r w:rsidR="005666FE">
      <w:rPr>
        <w:rStyle w:val="PageNumber"/>
        <w:rFonts w:ascii="Constantia" w:hAnsi="Constantia"/>
      </w:rPr>
      <w:t xml:space="preserve">ISSN </w:t>
    </w:r>
    <w:r w:rsidR="00FF0C10" w:rsidRPr="00FF0C10">
      <w:rPr>
        <w:rFonts w:ascii="Tw Cen MT" w:hAnsi="Tw Cen MT"/>
      </w:rPr>
      <w:t xml:space="preserve">3090-6520 </w:t>
    </w:r>
    <w:r w:rsidR="005666FE" w:rsidRPr="005666FE">
      <w:rPr>
        <w:rStyle w:val="PageNumber"/>
        <w:rFonts w:ascii="Constantia" w:hAnsi="Constantia"/>
      </w:rPr>
      <w:t>(online)</w:t>
    </w:r>
  </w:p>
  <w:p w14:paraId="00E192A9" w14:textId="60C59A83" w:rsidR="00347F44" w:rsidRPr="006807DE" w:rsidRDefault="006807DE" w:rsidP="006807DE">
    <w:pPr>
      <w:pStyle w:val="Header"/>
      <w:tabs>
        <w:tab w:val="clear" w:pos="4320"/>
      </w:tabs>
      <w:rPr>
        <w:rStyle w:val="PageNumber"/>
        <w:rFonts w:ascii="Constantia" w:hAnsi="Constantia"/>
      </w:rPr>
    </w:pPr>
    <w:r w:rsidRPr="00FC46A5">
      <w:rPr>
        <w:rStyle w:val="PageNumber"/>
        <w:rFonts w:ascii="Constantia" w:hAnsi="Constantia"/>
      </w:rPr>
      <w:t xml:space="preserve">Vol. </w:t>
    </w:r>
    <w:r w:rsidR="00FF0C10">
      <w:rPr>
        <w:rStyle w:val="PageNumber"/>
        <w:rFonts w:ascii="Constantia" w:hAnsi="Constantia"/>
      </w:rPr>
      <w:t>1</w:t>
    </w:r>
    <w:r w:rsidRPr="00FC46A5">
      <w:rPr>
        <w:rStyle w:val="PageNumber"/>
        <w:rFonts w:ascii="Constantia" w:hAnsi="Constantia"/>
      </w:rPr>
      <w:t xml:space="preserve"> No. </w:t>
    </w:r>
    <w:r w:rsidR="00FF0C10">
      <w:rPr>
        <w:rStyle w:val="PageNumber"/>
        <w:rFonts w:ascii="Constantia" w:hAnsi="Constantia"/>
      </w:rPr>
      <w:t>2</w:t>
    </w:r>
    <w:r w:rsidRPr="00FC46A5">
      <w:rPr>
        <w:rStyle w:val="PageNumber"/>
        <w:rFonts w:ascii="Constantia" w:hAnsi="Constantia"/>
      </w:rPr>
      <w:t xml:space="preserve">, </w:t>
    </w:r>
    <w:r w:rsidR="00FF0C10">
      <w:rPr>
        <w:rStyle w:val="PageNumber"/>
        <w:rFonts w:ascii="Constantia" w:hAnsi="Constantia"/>
      </w:rPr>
      <w:t>June</w:t>
    </w:r>
    <w:r w:rsidR="005666FE" w:rsidRPr="005666FE">
      <w:rPr>
        <w:rStyle w:val="PageNumber"/>
        <w:rFonts w:ascii="Constantia" w:hAnsi="Constantia"/>
      </w:rPr>
      <w:t xml:space="preserve"> </w:t>
    </w:r>
    <w:r w:rsidRPr="00FC46A5">
      <w:rPr>
        <w:rStyle w:val="PageNumber"/>
        <w:rFonts w:ascii="Constantia" w:hAnsi="Constantia"/>
      </w:rPr>
      <w:t>(</w:t>
    </w:r>
    <w:r w:rsidR="000342DB">
      <w:rPr>
        <w:rStyle w:val="PageNumber"/>
        <w:rFonts w:ascii="Constantia" w:hAnsi="Constantia"/>
      </w:rPr>
      <w:t>20</w:t>
    </w:r>
    <w:r w:rsidR="00FF0C10">
      <w:rPr>
        <w:rStyle w:val="PageNumber"/>
        <w:rFonts w:ascii="Constantia" w:hAnsi="Constantia"/>
      </w:rPr>
      <w:t>25</w:t>
    </w:r>
    <w:r w:rsidRPr="00FC46A5">
      <w:rPr>
        <w:rStyle w:val="PageNumber"/>
        <w:rFonts w:ascii="Constantia" w:hAnsi="Constantia"/>
      </w:rPr>
      <w:t xml:space="preserve">), pp. </w:t>
    </w:r>
    <w:r w:rsidR="00FF0C10">
      <w:rPr>
        <w:rStyle w:val="PageNumber"/>
        <w:rFonts w:ascii="Constantia" w:hAnsi="Constantia"/>
      </w:rPr>
      <w:t>69</w:t>
    </w:r>
    <w:r w:rsidRPr="00FC46A5">
      <w:rPr>
        <w:rStyle w:val="PageNumber"/>
        <w:rFonts w:ascii="Constantia" w:hAnsi="Constantia"/>
      </w:rPr>
      <w:t>-</w:t>
    </w:r>
    <w:r w:rsidR="00FF0C10">
      <w:rPr>
        <w:rStyle w:val="PageNumber"/>
        <w:rFonts w:ascii="Constantia" w:hAnsi="Constantia"/>
      </w:rPr>
      <w:t>74</w:t>
    </w:r>
    <w:r w:rsidRPr="00FC46A5">
      <w:rPr>
        <w:rStyle w:val="PageNumber"/>
        <w:rFonts w:ascii="Constantia" w:hAnsi="Constantia"/>
      </w:rPr>
      <w:t xml:space="preserve"> </w:t>
    </w:r>
    <w:r w:rsidRPr="00FC46A5">
      <w:rPr>
        <w:rStyle w:val="PageNumber"/>
        <w:rFonts w:ascii="Constantia" w:hAnsi="Constantia"/>
      </w:rPr>
      <w:tab/>
    </w:r>
    <w:r w:rsidRPr="002F46D0">
      <w:rPr>
        <w:rFonts w:ascii="Constantia" w:hAnsi="Constantia"/>
        <w:sz w:val="16"/>
        <w:szCs w:val="16"/>
      </w:rPr>
      <w:t xml:space="preserve">Published by </w:t>
    </w:r>
    <w:bookmarkEnd w:id="0"/>
    <w:bookmarkEnd w:id="1"/>
    <w:r w:rsidR="002F46D0" w:rsidRPr="002F46D0">
      <w:rPr>
        <w:sz w:val="16"/>
        <w:szCs w:val="16"/>
      </w:rPr>
      <w:t>Yayasan Cinta Negara</w:t>
    </w:r>
    <w:r w:rsidR="00FF0C10">
      <w:rPr>
        <w:sz w:val="16"/>
        <w:szCs w:val="16"/>
      </w:rPr>
      <w:t xml:space="preserve"> Indonesia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B72"/>
    <w:multiLevelType w:val="hybridMultilevel"/>
    <w:tmpl w:val="899EF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C651D5"/>
    <w:multiLevelType w:val="hybridMultilevel"/>
    <w:tmpl w:val="4C3899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EED4F238"/>
    <w:lvl w:ilvl="0" w:tplc="163079A2">
      <w:start w:val="1"/>
      <w:numFmt w:val="decimal"/>
      <w:lvlText w:val="%1."/>
      <w:lvlJc w:val="left"/>
      <w:pPr>
        <w:ind w:left="720" w:hanging="360"/>
      </w:pPr>
      <w:rPr>
        <w:rFonts w:ascii="Arial" w:hAnsi="Arial" w:cs="Arial"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7CD431CA"/>
    <w:multiLevelType w:val="hybridMultilevel"/>
    <w:tmpl w:val="B0A6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938519">
    <w:abstractNumId w:val="14"/>
  </w:num>
  <w:num w:numId="2" w16cid:durableId="635569797">
    <w:abstractNumId w:val="10"/>
  </w:num>
  <w:num w:numId="3" w16cid:durableId="1478691273">
    <w:abstractNumId w:val="18"/>
  </w:num>
  <w:num w:numId="4" w16cid:durableId="526721955">
    <w:abstractNumId w:val="9"/>
  </w:num>
  <w:num w:numId="5" w16cid:durableId="1258750984">
    <w:abstractNumId w:val="12"/>
  </w:num>
  <w:num w:numId="6" w16cid:durableId="1712419849">
    <w:abstractNumId w:val="15"/>
  </w:num>
  <w:num w:numId="7" w16cid:durableId="1091005197">
    <w:abstractNumId w:val="13"/>
  </w:num>
  <w:num w:numId="8" w16cid:durableId="585458473">
    <w:abstractNumId w:val="11"/>
  </w:num>
  <w:num w:numId="9" w16cid:durableId="1740518343">
    <w:abstractNumId w:val="7"/>
  </w:num>
  <w:num w:numId="10" w16cid:durableId="598025020">
    <w:abstractNumId w:val="2"/>
  </w:num>
  <w:num w:numId="11" w16cid:durableId="1574391410">
    <w:abstractNumId w:val="1"/>
  </w:num>
  <w:num w:numId="12" w16cid:durableId="1047997235">
    <w:abstractNumId w:val="4"/>
  </w:num>
  <w:num w:numId="13" w16cid:durableId="2061710800">
    <w:abstractNumId w:val="3"/>
  </w:num>
  <w:num w:numId="14" w16cid:durableId="1013846133">
    <w:abstractNumId w:val="5"/>
  </w:num>
  <w:num w:numId="15" w16cid:durableId="2025861959">
    <w:abstractNumId w:val="17"/>
  </w:num>
  <w:num w:numId="16" w16cid:durableId="1756198675">
    <w:abstractNumId w:val="6"/>
  </w:num>
  <w:num w:numId="17" w16cid:durableId="1527791530">
    <w:abstractNumId w:val="16"/>
  </w:num>
  <w:num w:numId="18" w16cid:durableId="682050318">
    <w:abstractNumId w:val="0"/>
  </w:num>
  <w:num w:numId="19" w16cid:durableId="1153719509">
    <w:abstractNumId w:val="19"/>
  </w:num>
  <w:num w:numId="20" w16cid:durableId="184400479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E0"/>
    <w:rsid w:val="00005EFC"/>
    <w:rsid w:val="00007744"/>
    <w:rsid w:val="000106D0"/>
    <w:rsid w:val="00012CEF"/>
    <w:rsid w:val="00014633"/>
    <w:rsid w:val="00015F2A"/>
    <w:rsid w:val="00016FEF"/>
    <w:rsid w:val="00017858"/>
    <w:rsid w:val="00021806"/>
    <w:rsid w:val="00022D47"/>
    <w:rsid w:val="000231E3"/>
    <w:rsid w:val="00027142"/>
    <w:rsid w:val="000279BE"/>
    <w:rsid w:val="0003194C"/>
    <w:rsid w:val="000342DB"/>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2AED"/>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26D4D"/>
    <w:rsid w:val="0013179E"/>
    <w:rsid w:val="00131A6C"/>
    <w:rsid w:val="00131E4C"/>
    <w:rsid w:val="00133B59"/>
    <w:rsid w:val="00136716"/>
    <w:rsid w:val="00137465"/>
    <w:rsid w:val="00137E25"/>
    <w:rsid w:val="00137F36"/>
    <w:rsid w:val="001414E2"/>
    <w:rsid w:val="001434C3"/>
    <w:rsid w:val="001441CB"/>
    <w:rsid w:val="00145453"/>
    <w:rsid w:val="0014611F"/>
    <w:rsid w:val="0014656D"/>
    <w:rsid w:val="00146861"/>
    <w:rsid w:val="001517E4"/>
    <w:rsid w:val="00151E7C"/>
    <w:rsid w:val="00153387"/>
    <w:rsid w:val="00154C55"/>
    <w:rsid w:val="00157C06"/>
    <w:rsid w:val="00161845"/>
    <w:rsid w:val="00162849"/>
    <w:rsid w:val="0016504F"/>
    <w:rsid w:val="0016598E"/>
    <w:rsid w:val="00166432"/>
    <w:rsid w:val="00167012"/>
    <w:rsid w:val="001671A8"/>
    <w:rsid w:val="0016761A"/>
    <w:rsid w:val="00167BE2"/>
    <w:rsid w:val="0017238E"/>
    <w:rsid w:val="00177E2C"/>
    <w:rsid w:val="00180992"/>
    <w:rsid w:val="00180E5E"/>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E0E"/>
    <w:rsid w:val="00212DCC"/>
    <w:rsid w:val="002141C1"/>
    <w:rsid w:val="00215A82"/>
    <w:rsid w:val="00216F2A"/>
    <w:rsid w:val="00220914"/>
    <w:rsid w:val="00220BF3"/>
    <w:rsid w:val="00221D61"/>
    <w:rsid w:val="00221FB3"/>
    <w:rsid w:val="002224C4"/>
    <w:rsid w:val="00224456"/>
    <w:rsid w:val="00225BEA"/>
    <w:rsid w:val="00225C1C"/>
    <w:rsid w:val="00230440"/>
    <w:rsid w:val="00230AAB"/>
    <w:rsid w:val="00231A19"/>
    <w:rsid w:val="00232081"/>
    <w:rsid w:val="00232DA1"/>
    <w:rsid w:val="002351A8"/>
    <w:rsid w:val="002351E6"/>
    <w:rsid w:val="00235549"/>
    <w:rsid w:val="002378BD"/>
    <w:rsid w:val="00237B26"/>
    <w:rsid w:val="00240303"/>
    <w:rsid w:val="002410E0"/>
    <w:rsid w:val="0024180A"/>
    <w:rsid w:val="0024268D"/>
    <w:rsid w:val="00250442"/>
    <w:rsid w:val="00250A66"/>
    <w:rsid w:val="00254EC2"/>
    <w:rsid w:val="002550AB"/>
    <w:rsid w:val="00256322"/>
    <w:rsid w:val="002575A8"/>
    <w:rsid w:val="00260476"/>
    <w:rsid w:val="00261B88"/>
    <w:rsid w:val="0026229E"/>
    <w:rsid w:val="002622CD"/>
    <w:rsid w:val="00262C8D"/>
    <w:rsid w:val="00266574"/>
    <w:rsid w:val="002668F8"/>
    <w:rsid w:val="00270E78"/>
    <w:rsid w:val="00271390"/>
    <w:rsid w:val="002714E9"/>
    <w:rsid w:val="002718C5"/>
    <w:rsid w:val="00271AB9"/>
    <w:rsid w:val="0027245E"/>
    <w:rsid w:val="002743A4"/>
    <w:rsid w:val="00274BCC"/>
    <w:rsid w:val="00275406"/>
    <w:rsid w:val="0027696A"/>
    <w:rsid w:val="002769E7"/>
    <w:rsid w:val="00281882"/>
    <w:rsid w:val="00281D99"/>
    <w:rsid w:val="002821B9"/>
    <w:rsid w:val="0028450D"/>
    <w:rsid w:val="00291278"/>
    <w:rsid w:val="00291EBF"/>
    <w:rsid w:val="00296D8E"/>
    <w:rsid w:val="002A0772"/>
    <w:rsid w:val="002A6CD8"/>
    <w:rsid w:val="002B0601"/>
    <w:rsid w:val="002B10C7"/>
    <w:rsid w:val="002B2D50"/>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1C05"/>
    <w:rsid w:val="002E2CAE"/>
    <w:rsid w:val="002E5FA1"/>
    <w:rsid w:val="002E60FC"/>
    <w:rsid w:val="002E6409"/>
    <w:rsid w:val="002F137A"/>
    <w:rsid w:val="002F267D"/>
    <w:rsid w:val="002F3D30"/>
    <w:rsid w:val="002F41A4"/>
    <w:rsid w:val="002F46D0"/>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47F44"/>
    <w:rsid w:val="0035059C"/>
    <w:rsid w:val="0035076B"/>
    <w:rsid w:val="00352BEB"/>
    <w:rsid w:val="00353885"/>
    <w:rsid w:val="00361EB1"/>
    <w:rsid w:val="003629D1"/>
    <w:rsid w:val="003637CE"/>
    <w:rsid w:val="00367FAD"/>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74D"/>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E62F5"/>
    <w:rsid w:val="003F0964"/>
    <w:rsid w:val="003F18A1"/>
    <w:rsid w:val="003F1D93"/>
    <w:rsid w:val="003F2EB6"/>
    <w:rsid w:val="003F4897"/>
    <w:rsid w:val="003F6587"/>
    <w:rsid w:val="003F7396"/>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027"/>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3C"/>
    <w:rsid w:val="00485FD1"/>
    <w:rsid w:val="004872F8"/>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0AC"/>
    <w:rsid w:val="004A7C83"/>
    <w:rsid w:val="004B1FFE"/>
    <w:rsid w:val="004B2F8C"/>
    <w:rsid w:val="004B4EDE"/>
    <w:rsid w:val="004B589F"/>
    <w:rsid w:val="004B661B"/>
    <w:rsid w:val="004B76DC"/>
    <w:rsid w:val="004C0B2C"/>
    <w:rsid w:val="004C1E2F"/>
    <w:rsid w:val="004C3BEB"/>
    <w:rsid w:val="004C59ED"/>
    <w:rsid w:val="004C65D5"/>
    <w:rsid w:val="004D0AC0"/>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666FE"/>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0737"/>
    <w:rsid w:val="005C11D6"/>
    <w:rsid w:val="005C12EA"/>
    <w:rsid w:val="005C1759"/>
    <w:rsid w:val="005C234E"/>
    <w:rsid w:val="005D02EE"/>
    <w:rsid w:val="005D0C1B"/>
    <w:rsid w:val="005D210E"/>
    <w:rsid w:val="005D3D27"/>
    <w:rsid w:val="005D464B"/>
    <w:rsid w:val="005D66ED"/>
    <w:rsid w:val="005D7D3A"/>
    <w:rsid w:val="005D7EB1"/>
    <w:rsid w:val="005E6EF7"/>
    <w:rsid w:val="005E736A"/>
    <w:rsid w:val="005E75FC"/>
    <w:rsid w:val="005F042D"/>
    <w:rsid w:val="005F3D1C"/>
    <w:rsid w:val="005F534C"/>
    <w:rsid w:val="005F75F8"/>
    <w:rsid w:val="00603797"/>
    <w:rsid w:val="00604183"/>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4D72"/>
    <w:rsid w:val="00665A9F"/>
    <w:rsid w:val="00665B37"/>
    <w:rsid w:val="00665DA0"/>
    <w:rsid w:val="006719D8"/>
    <w:rsid w:val="0067364F"/>
    <w:rsid w:val="00675D81"/>
    <w:rsid w:val="00676455"/>
    <w:rsid w:val="00676EB9"/>
    <w:rsid w:val="006807DE"/>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3F08"/>
    <w:rsid w:val="006B6754"/>
    <w:rsid w:val="006B71FD"/>
    <w:rsid w:val="006C0661"/>
    <w:rsid w:val="006C0E3B"/>
    <w:rsid w:val="006C18AF"/>
    <w:rsid w:val="006C1D12"/>
    <w:rsid w:val="006C5EC9"/>
    <w:rsid w:val="006C7C8B"/>
    <w:rsid w:val="006D0038"/>
    <w:rsid w:val="006D29E6"/>
    <w:rsid w:val="006D449D"/>
    <w:rsid w:val="006D4D07"/>
    <w:rsid w:val="006D5851"/>
    <w:rsid w:val="006D59A9"/>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5BD8"/>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5718"/>
    <w:rsid w:val="007472E6"/>
    <w:rsid w:val="00747DFD"/>
    <w:rsid w:val="00754329"/>
    <w:rsid w:val="007547A1"/>
    <w:rsid w:val="00756A93"/>
    <w:rsid w:val="0075769A"/>
    <w:rsid w:val="00765DEF"/>
    <w:rsid w:val="00766E46"/>
    <w:rsid w:val="00770E6E"/>
    <w:rsid w:val="00771A7C"/>
    <w:rsid w:val="0077230A"/>
    <w:rsid w:val="00772725"/>
    <w:rsid w:val="00773EB7"/>
    <w:rsid w:val="007751AA"/>
    <w:rsid w:val="0077579D"/>
    <w:rsid w:val="00777AD7"/>
    <w:rsid w:val="007808A5"/>
    <w:rsid w:val="00784C44"/>
    <w:rsid w:val="007912CE"/>
    <w:rsid w:val="00791724"/>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17E9"/>
    <w:rsid w:val="007C2A08"/>
    <w:rsid w:val="007C60D8"/>
    <w:rsid w:val="007C7EA6"/>
    <w:rsid w:val="007D0AC6"/>
    <w:rsid w:val="007D2077"/>
    <w:rsid w:val="007D4DC3"/>
    <w:rsid w:val="007D60C6"/>
    <w:rsid w:val="007D7A78"/>
    <w:rsid w:val="007E3E2B"/>
    <w:rsid w:val="007E4514"/>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01E"/>
    <w:rsid w:val="00856356"/>
    <w:rsid w:val="008563F2"/>
    <w:rsid w:val="00860671"/>
    <w:rsid w:val="00860F0E"/>
    <w:rsid w:val="00862CD2"/>
    <w:rsid w:val="0086508B"/>
    <w:rsid w:val="00866E4F"/>
    <w:rsid w:val="0087156B"/>
    <w:rsid w:val="00872D7E"/>
    <w:rsid w:val="008754E6"/>
    <w:rsid w:val="0087776F"/>
    <w:rsid w:val="0088233C"/>
    <w:rsid w:val="0088280A"/>
    <w:rsid w:val="00883E95"/>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410"/>
    <w:rsid w:val="008C1B93"/>
    <w:rsid w:val="008C22C7"/>
    <w:rsid w:val="008C38EB"/>
    <w:rsid w:val="008C414B"/>
    <w:rsid w:val="008C54EA"/>
    <w:rsid w:val="008C6701"/>
    <w:rsid w:val="008C671C"/>
    <w:rsid w:val="008D28A9"/>
    <w:rsid w:val="008D3BDF"/>
    <w:rsid w:val="008D6AE6"/>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16B23"/>
    <w:rsid w:val="00921D05"/>
    <w:rsid w:val="0092257C"/>
    <w:rsid w:val="00922DF7"/>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40B"/>
    <w:rsid w:val="00954DC1"/>
    <w:rsid w:val="00955462"/>
    <w:rsid w:val="00955617"/>
    <w:rsid w:val="00956EB6"/>
    <w:rsid w:val="00957C11"/>
    <w:rsid w:val="009617A9"/>
    <w:rsid w:val="009665BE"/>
    <w:rsid w:val="009673AB"/>
    <w:rsid w:val="00970E84"/>
    <w:rsid w:val="00971153"/>
    <w:rsid w:val="00974BE2"/>
    <w:rsid w:val="00981036"/>
    <w:rsid w:val="00981E5F"/>
    <w:rsid w:val="0098310B"/>
    <w:rsid w:val="00983846"/>
    <w:rsid w:val="009907EB"/>
    <w:rsid w:val="00990CC8"/>
    <w:rsid w:val="0099227E"/>
    <w:rsid w:val="00994096"/>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52A"/>
    <w:rsid w:val="00A04D6C"/>
    <w:rsid w:val="00A05622"/>
    <w:rsid w:val="00A100B6"/>
    <w:rsid w:val="00A1136A"/>
    <w:rsid w:val="00A16250"/>
    <w:rsid w:val="00A1626C"/>
    <w:rsid w:val="00A17296"/>
    <w:rsid w:val="00A17D28"/>
    <w:rsid w:val="00A21621"/>
    <w:rsid w:val="00A22457"/>
    <w:rsid w:val="00A22900"/>
    <w:rsid w:val="00A2761B"/>
    <w:rsid w:val="00A31E71"/>
    <w:rsid w:val="00A3276F"/>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67F7A"/>
    <w:rsid w:val="00A71C8A"/>
    <w:rsid w:val="00A71ED6"/>
    <w:rsid w:val="00A760E0"/>
    <w:rsid w:val="00A77E76"/>
    <w:rsid w:val="00A80090"/>
    <w:rsid w:val="00A82646"/>
    <w:rsid w:val="00A85A64"/>
    <w:rsid w:val="00A93118"/>
    <w:rsid w:val="00A94333"/>
    <w:rsid w:val="00A94C5E"/>
    <w:rsid w:val="00AA0BA4"/>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B7BF3"/>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1AD1"/>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62"/>
    <w:rsid w:val="00B743B9"/>
    <w:rsid w:val="00B768D7"/>
    <w:rsid w:val="00B778A3"/>
    <w:rsid w:val="00B809F3"/>
    <w:rsid w:val="00B85932"/>
    <w:rsid w:val="00B87588"/>
    <w:rsid w:val="00B92474"/>
    <w:rsid w:val="00B972D0"/>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A15"/>
    <w:rsid w:val="00BD0E9D"/>
    <w:rsid w:val="00BD11F4"/>
    <w:rsid w:val="00BD218A"/>
    <w:rsid w:val="00BD399A"/>
    <w:rsid w:val="00BD557E"/>
    <w:rsid w:val="00BD5B18"/>
    <w:rsid w:val="00BD5F64"/>
    <w:rsid w:val="00BE0201"/>
    <w:rsid w:val="00BE3232"/>
    <w:rsid w:val="00BE520C"/>
    <w:rsid w:val="00BF16AD"/>
    <w:rsid w:val="00BF2C8B"/>
    <w:rsid w:val="00BF34A7"/>
    <w:rsid w:val="00BF3B14"/>
    <w:rsid w:val="00BF6218"/>
    <w:rsid w:val="00BF69F4"/>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B85"/>
    <w:rsid w:val="00C16300"/>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2589"/>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039F"/>
    <w:rsid w:val="00CE1CF3"/>
    <w:rsid w:val="00CE4BC0"/>
    <w:rsid w:val="00CE6BB1"/>
    <w:rsid w:val="00CE70F3"/>
    <w:rsid w:val="00CE728A"/>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0DDF"/>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826"/>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ED4"/>
    <w:rsid w:val="00D773C8"/>
    <w:rsid w:val="00D860EC"/>
    <w:rsid w:val="00D9045B"/>
    <w:rsid w:val="00D90EA9"/>
    <w:rsid w:val="00D91B4E"/>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13C"/>
    <w:rsid w:val="00E15BBF"/>
    <w:rsid w:val="00E15ECD"/>
    <w:rsid w:val="00E230D8"/>
    <w:rsid w:val="00E23F00"/>
    <w:rsid w:val="00E2599A"/>
    <w:rsid w:val="00E26A0F"/>
    <w:rsid w:val="00E318D4"/>
    <w:rsid w:val="00E339EE"/>
    <w:rsid w:val="00E33D9A"/>
    <w:rsid w:val="00E3557A"/>
    <w:rsid w:val="00E4014C"/>
    <w:rsid w:val="00E401FC"/>
    <w:rsid w:val="00E42D1B"/>
    <w:rsid w:val="00E4558E"/>
    <w:rsid w:val="00E46C0B"/>
    <w:rsid w:val="00E46FAB"/>
    <w:rsid w:val="00E474DC"/>
    <w:rsid w:val="00E5155C"/>
    <w:rsid w:val="00E52B33"/>
    <w:rsid w:val="00E52FF2"/>
    <w:rsid w:val="00E5385B"/>
    <w:rsid w:val="00E55EA9"/>
    <w:rsid w:val="00E56307"/>
    <w:rsid w:val="00E56D55"/>
    <w:rsid w:val="00E56F52"/>
    <w:rsid w:val="00E57D47"/>
    <w:rsid w:val="00E57F76"/>
    <w:rsid w:val="00E60696"/>
    <w:rsid w:val="00E6152A"/>
    <w:rsid w:val="00E62028"/>
    <w:rsid w:val="00E62A49"/>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1715"/>
    <w:rsid w:val="00EF754D"/>
    <w:rsid w:val="00F027E9"/>
    <w:rsid w:val="00F0775E"/>
    <w:rsid w:val="00F15F69"/>
    <w:rsid w:val="00F1612D"/>
    <w:rsid w:val="00F167EE"/>
    <w:rsid w:val="00F173DD"/>
    <w:rsid w:val="00F21119"/>
    <w:rsid w:val="00F25164"/>
    <w:rsid w:val="00F277D3"/>
    <w:rsid w:val="00F30997"/>
    <w:rsid w:val="00F32896"/>
    <w:rsid w:val="00F33C08"/>
    <w:rsid w:val="00F35ADB"/>
    <w:rsid w:val="00F41AE7"/>
    <w:rsid w:val="00F41F44"/>
    <w:rsid w:val="00F42D17"/>
    <w:rsid w:val="00F44BDD"/>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21C2"/>
    <w:rsid w:val="00F73E78"/>
    <w:rsid w:val="00F740C2"/>
    <w:rsid w:val="00F7591E"/>
    <w:rsid w:val="00F75D2A"/>
    <w:rsid w:val="00F75EF9"/>
    <w:rsid w:val="00F77A9B"/>
    <w:rsid w:val="00F80F21"/>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21CA"/>
    <w:rsid w:val="00FB763A"/>
    <w:rsid w:val="00FB79C0"/>
    <w:rsid w:val="00FC2EB8"/>
    <w:rsid w:val="00FC5C43"/>
    <w:rsid w:val="00FD1598"/>
    <w:rsid w:val="00FD2B3A"/>
    <w:rsid w:val="00FD576E"/>
    <w:rsid w:val="00FD596B"/>
    <w:rsid w:val="00FD66BB"/>
    <w:rsid w:val="00FE58CC"/>
    <w:rsid w:val="00FE75A9"/>
    <w:rsid w:val="00FF058D"/>
    <w:rsid w:val="00FF0C10"/>
    <w:rsid w:val="00FF1D8E"/>
    <w:rsid w:val="00FF2440"/>
    <w:rsid w:val="00FF322C"/>
    <w:rsid w:val="00FF3922"/>
    <w:rsid w:val="00FF7745"/>
    <w:rsid w:val="00FF7BCB"/>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0ACC5"/>
  <w15:docId w15:val="{30AD6427-2D45-4B6A-9867-1D6377CF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uiPriority w:val="99"/>
    <w:semiHidden/>
    <w:unhideWhenUsed/>
    <w:rsid w:val="00FD2B3A"/>
    <w:rPr>
      <w:color w:val="605E5C"/>
      <w:shd w:val="clear" w:color="auto" w:fill="E1DFDD"/>
    </w:rPr>
  </w:style>
  <w:style w:type="character" w:styleId="CommentReference">
    <w:name w:val="annotation reference"/>
    <w:basedOn w:val="DefaultParagraphFont"/>
    <w:uiPriority w:val="99"/>
    <w:semiHidden/>
    <w:unhideWhenUsed/>
    <w:rsid w:val="00B01AD1"/>
    <w:rPr>
      <w:sz w:val="16"/>
      <w:szCs w:val="16"/>
    </w:rPr>
  </w:style>
  <w:style w:type="paragraph" w:styleId="CommentText">
    <w:name w:val="annotation text"/>
    <w:basedOn w:val="Normal"/>
    <w:link w:val="CommentTextChar"/>
    <w:uiPriority w:val="99"/>
    <w:unhideWhenUsed/>
    <w:rsid w:val="00B01AD1"/>
  </w:style>
  <w:style w:type="character" w:customStyle="1" w:styleId="CommentTextChar">
    <w:name w:val="Comment Text Char"/>
    <w:basedOn w:val="DefaultParagraphFont"/>
    <w:link w:val="CommentText"/>
    <w:uiPriority w:val="99"/>
    <w:rsid w:val="00B01AD1"/>
  </w:style>
  <w:style w:type="paragraph" w:styleId="CommentSubject">
    <w:name w:val="annotation subject"/>
    <w:basedOn w:val="CommentText"/>
    <w:next w:val="CommentText"/>
    <w:link w:val="CommentSubjectChar"/>
    <w:uiPriority w:val="99"/>
    <w:semiHidden/>
    <w:unhideWhenUsed/>
    <w:rsid w:val="00B01AD1"/>
    <w:rPr>
      <w:b/>
      <w:bCs/>
    </w:rPr>
  </w:style>
  <w:style w:type="character" w:customStyle="1" w:styleId="CommentSubjectChar">
    <w:name w:val="Comment Subject Char"/>
    <w:basedOn w:val="CommentTextChar"/>
    <w:link w:val="CommentSubject"/>
    <w:uiPriority w:val="99"/>
    <w:semiHidden/>
    <w:rsid w:val="00B01A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B140-C6BA-4DB3-A969-D5A121E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JurisSpectrum</vt:lpstr>
    </vt:vector>
  </TitlesOfParts>
  <Company>cairo</Company>
  <LinksUpToDate>false</LinksUpToDate>
  <CharactersWithSpaces>24484</CharactersWithSpaces>
  <SharedDoc>false</SharedDoc>
  <HLinks>
    <vt:vector size="114" baseType="variant">
      <vt:variant>
        <vt:i4>6946937</vt:i4>
      </vt:variant>
      <vt:variant>
        <vt:i4>83</vt:i4>
      </vt:variant>
      <vt:variant>
        <vt:i4>0</vt:i4>
      </vt:variant>
      <vt:variant>
        <vt:i4>5</vt:i4>
      </vt:variant>
      <vt:variant>
        <vt:lpwstr>https://www.sciencedirect.com/science/article/pii/S0959652620309513</vt:lpwstr>
      </vt:variant>
      <vt:variant>
        <vt:lpwstr/>
      </vt:variant>
      <vt:variant>
        <vt:i4>4915210</vt:i4>
      </vt:variant>
      <vt:variant>
        <vt:i4>80</vt:i4>
      </vt:variant>
      <vt:variant>
        <vt:i4>0</vt:i4>
      </vt:variant>
      <vt:variant>
        <vt:i4>5</vt:i4>
      </vt:variant>
      <vt:variant>
        <vt:lpwstr>https://link.springer.com/article/10.1007/s13347-021-00442-x</vt:lpwstr>
      </vt:variant>
      <vt:variant>
        <vt:lpwstr/>
      </vt:variant>
      <vt:variant>
        <vt:i4>851993</vt:i4>
      </vt:variant>
      <vt:variant>
        <vt:i4>77</vt:i4>
      </vt:variant>
      <vt:variant>
        <vt:i4>0</vt:i4>
      </vt:variant>
      <vt:variant>
        <vt:i4>5</vt:i4>
      </vt:variant>
      <vt:variant>
        <vt:lpwstr>https://www.liebertpub.com/doi/abs/10.1089/big.2020.0062</vt:lpwstr>
      </vt:variant>
      <vt:variant>
        <vt:lpwstr/>
      </vt:variant>
      <vt:variant>
        <vt:i4>1376263</vt:i4>
      </vt:variant>
      <vt:variant>
        <vt:i4>74</vt:i4>
      </vt:variant>
      <vt:variant>
        <vt:i4>0</vt:i4>
      </vt:variant>
      <vt:variant>
        <vt:i4>5</vt:i4>
      </vt:variant>
      <vt:variant>
        <vt:lpwstr>http://journal.umsu.ac.id/index.php/ijessr/article/view/4880</vt:lpwstr>
      </vt:variant>
      <vt:variant>
        <vt:lpwstr/>
      </vt:variant>
      <vt:variant>
        <vt:i4>6094856</vt:i4>
      </vt:variant>
      <vt:variant>
        <vt:i4>71</vt:i4>
      </vt:variant>
      <vt:variant>
        <vt:i4>0</vt:i4>
      </vt:variant>
      <vt:variant>
        <vt:i4>5</vt:i4>
      </vt:variant>
      <vt:variant>
        <vt:lpwstr>https://www.taylorfrancis.com/chapters/edit/10.4324/9781003115403-12/equity-research-design-susan-grieshaber</vt:lpwstr>
      </vt:variant>
      <vt:variant>
        <vt:lpwstr/>
      </vt:variant>
      <vt:variant>
        <vt:i4>6619195</vt:i4>
      </vt:variant>
      <vt:variant>
        <vt:i4>68</vt:i4>
      </vt:variant>
      <vt:variant>
        <vt:i4>0</vt:i4>
      </vt:variant>
      <vt:variant>
        <vt:i4>5</vt:i4>
      </vt:variant>
      <vt:variant>
        <vt:lpwstr>https://journals.sfu.ca/flr/index.php/journal/article/view/623</vt:lpwstr>
      </vt:variant>
      <vt:variant>
        <vt:lpwstr/>
      </vt:variant>
      <vt:variant>
        <vt:i4>262168</vt:i4>
      </vt:variant>
      <vt:variant>
        <vt:i4>65</vt:i4>
      </vt:variant>
      <vt:variant>
        <vt:i4>0</vt:i4>
      </vt:variant>
      <vt:variant>
        <vt:i4>5</vt:i4>
      </vt:variant>
      <vt:variant>
        <vt:lpwstr>https://www.academic-publishing.org/index.php/ejel/article/view/1888</vt:lpwstr>
      </vt:variant>
      <vt:variant>
        <vt:lpwstr/>
      </vt:variant>
      <vt:variant>
        <vt:i4>131137</vt:i4>
      </vt:variant>
      <vt:variant>
        <vt:i4>62</vt:i4>
      </vt:variant>
      <vt:variant>
        <vt:i4>0</vt:i4>
      </vt:variant>
      <vt:variant>
        <vt:i4>5</vt:i4>
      </vt:variant>
      <vt:variant>
        <vt:lpwstr>https://www.cell.com/matter/pdf/S2590-2385(20)30497-5.pdf</vt:lpwstr>
      </vt:variant>
      <vt:variant>
        <vt:lpwstr/>
      </vt:variant>
      <vt:variant>
        <vt:i4>7274617</vt:i4>
      </vt:variant>
      <vt:variant>
        <vt:i4>56</vt:i4>
      </vt:variant>
      <vt:variant>
        <vt:i4>0</vt:i4>
      </vt:variant>
      <vt:variant>
        <vt:i4>5</vt:i4>
      </vt:variant>
      <vt:variant>
        <vt:lpwstr/>
      </vt:variant>
      <vt:variant>
        <vt:lpwstr>Grieshaber</vt:lpwstr>
      </vt:variant>
      <vt:variant>
        <vt:i4>1507359</vt:i4>
      </vt:variant>
      <vt:variant>
        <vt:i4>47</vt:i4>
      </vt:variant>
      <vt:variant>
        <vt:i4>0</vt:i4>
      </vt:variant>
      <vt:variant>
        <vt:i4>5</vt:i4>
      </vt:variant>
      <vt:variant>
        <vt:lpwstr/>
      </vt:variant>
      <vt:variant>
        <vt:lpwstr>Fryer</vt:lpwstr>
      </vt:variant>
      <vt:variant>
        <vt:i4>7929958</vt:i4>
      </vt:variant>
      <vt:variant>
        <vt:i4>41</vt:i4>
      </vt:variant>
      <vt:variant>
        <vt:i4>0</vt:i4>
      </vt:variant>
      <vt:variant>
        <vt:i4>5</vt:i4>
      </vt:variant>
      <vt:variant>
        <vt:lpwstr/>
      </vt:variant>
      <vt:variant>
        <vt:lpwstr>cronje</vt:lpwstr>
      </vt:variant>
      <vt:variant>
        <vt:i4>6815859</vt:i4>
      </vt:variant>
      <vt:variant>
        <vt:i4>35</vt:i4>
      </vt:variant>
      <vt:variant>
        <vt:i4>0</vt:i4>
      </vt:variant>
      <vt:variant>
        <vt:i4>5</vt:i4>
      </vt:variant>
      <vt:variant>
        <vt:lpwstr/>
      </vt:variant>
      <vt:variant>
        <vt:lpwstr>shu</vt:lpwstr>
      </vt:variant>
      <vt:variant>
        <vt:i4>1507350</vt:i4>
      </vt:variant>
      <vt:variant>
        <vt:i4>29</vt:i4>
      </vt:variant>
      <vt:variant>
        <vt:i4>0</vt:i4>
      </vt:variant>
      <vt:variant>
        <vt:i4>5</vt:i4>
      </vt:variant>
      <vt:variant>
        <vt:lpwstr/>
      </vt:variant>
      <vt:variant>
        <vt:lpwstr>Cranford</vt:lpwstr>
      </vt:variant>
      <vt:variant>
        <vt:i4>6881382</vt:i4>
      </vt:variant>
      <vt:variant>
        <vt:i4>23</vt:i4>
      </vt:variant>
      <vt:variant>
        <vt:i4>0</vt:i4>
      </vt:variant>
      <vt:variant>
        <vt:i4>5</vt:i4>
      </vt:variant>
      <vt:variant>
        <vt:lpwstr/>
      </vt:variant>
      <vt:variant>
        <vt:lpwstr>saragih</vt:lpwstr>
      </vt:variant>
      <vt:variant>
        <vt:i4>1507350</vt:i4>
      </vt:variant>
      <vt:variant>
        <vt:i4>17</vt:i4>
      </vt:variant>
      <vt:variant>
        <vt:i4>0</vt:i4>
      </vt:variant>
      <vt:variant>
        <vt:i4>5</vt:i4>
      </vt:variant>
      <vt:variant>
        <vt:lpwstr/>
      </vt:variant>
      <vt:variant>
        <vt:lpwstr>Cranford</vt:lpwstr>
      </vt:variant>
      <vt:variant>
        <vt:i4>6357110</vt:i4>
      </vt:variant>
      <vt:variant>
        <vt:i4>11</vt:i4>
      </vt:variant>
      <vt:variant>
        <vt:i4>0</vt:i4>
      </vt:variant>
      <vt:variant>
        <vt:i4>5</vt:i4>
      </vt:variant>
      <vt:variant>
        <vt:lpwstr/>
      </vt:variant>
      <vt:variant>
        <vt:lpwstr>van</vt:lpwstr>
      </vt:variant>
      <vt:variant>
        <vt:i4>7405687</vt:i4>
      </vt:variant>
      <vt:variant>
        <vt:i4>5</vt:i4>
      </vt:variant>
      <vt:variant>
        <vt:i4>0</vt:i4>
      </vt:variant>
      <vt:variant>
        <vt:i4>5</vt:i4>
      </vt:variant>
      <vt:variant>
        <vt:lpwstr/>
      </vt:variant>
      <vt:variant>
        <vt:lpwstr>stewart</vt:lpwstr>
      </vt:variant>
      <vt:variant>
        <vt:i4>3473507</vt:i4>
      </vt:variant>
      <vt:variant>
        <vt:i4>0</vt:i4>
      </vt:variant>
      <vt:variant>
        <vt:i4>0</vt:i4>
      </vt:variant>
      <vt:variant>
        <vt:i4>5</vt:i4>
      </vt:variant>
      <vt:variant>
        <vt:lpwstr>https://creativecommons.org/licenses/by-nc/4.0/</vt:lpwstr>
      </vt:variant>
      <vt:variant>
        <vt:lpwstr/>
      </vt:variant>
      <vt:variant>
        <vt:i4>6750323</vt:i4>
      </vt:variant>
      <vt:variant>
        <vt:i4>6</vt:i4>
      </vt:variant>
      <vt:variant>
        <vt:i4>0</vt:i4>
      </vt:variant>
      <vt:variant>
        <vt:i4>5</vt:i4>
      </vt:variant>
      <vt:variant>
        <vt:lpwstr>https://iocscience.org/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JurisSpectrum</dc:title>
  <dc:subject/>
  <dc:creator>JPBM</dc:creator>
  <cp:keywords>JurisSpectrum</cp:keywords>
  <cp:lastModifiedBy>Administrator</cp:lastModifiedBy>
  <cp:revision>3</cp:revision>
  <cp:lastPrinted>2021-09-26T11:50:00Z</cp:lastPrinted>
  <dcterms:created xsi:type="dcterms:W3CDTF">2025-07-28T04:05:00Z</dcterms:created>
  <dcterms:modified xsi:type="dcterms:W3CDTF">2025-07-29T04:49:00Z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bcfc5cd5-603f-300f-90b4-cc658ef31958</vt:lpwstr>
  </property>
  <property fmtid="{D5CDD505-2E9C-101B-9397-08002B2CF9AE}" pid="24" name="Mendeley Citation Style_1">
    <vt:lpwstr>http://www.zotero.org/styles/apa</vt:lpwstr>
  </property>
</Properties>
</file>